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51CF95" Type="http://schemas.openxmlformats.org/officeDocument/2006/relationships/officeDocument" Target="/word/document.xml" /><Relationship Id="coreR3A51CF9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stanowi realizację obowiązku wynikającego z art. 87 ustawy z dnia 23 lipca 2003 r.o ochronie zabytków i opiece nad zabytkami. Zasadniczym celem uchwały jest zahamowanie procesów degradacji zabytków i doprowadzenie do poprawy stanu ich zachowania, wyeksponowanie poszczególnych zabytków oraz walorów krajobrazu kulturowego na terenie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Przedłożony program został pismem znak WUOZ.DW.WZN.5120.8.2023.AM z dnia 07.12.2023 r. pozytywnie zaopiniowany przez Wojewódzki Urząd Ochrony Zabytków w Toruniu - Delegatura</w:t>
        <w:br w:type="textWrapping"/>
        <w:t>we Włocławku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2023-12-19T13:01:45Z</dcterms:created>
  <cp:lastModifiedBy>Barbara Góralczyk</cp:lastModifiedBy>
  <dcterms:modified xsi:type="dcterms:W3CDTF">2024-01-25T11:01:36Z</dcterms:modified>
  <cp:revision>36</cp:revision>
  <dc:subject>w sprawie przyjęcia Gminnego Programu Opieki nad zabytkami dla Gminy Skrwilno na lata 2023-2026</dc:subject>
  <dc:title>Uchwała z dnia 28 grudnia 2023 r.</dc:title>
</cp:coreProperties>
</file>