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978106C" Type="http://schemas.openxmlformats.org/officeDocument/2006/relationships/officeDocument" Target="/word/document.xml" /><Relationship Id="coreR2978106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rPr>
          <w:rFonts w:ascii="Times New Roman" w:hAnsi="Times New Roman"/>
          <w:sz w:val="22"/>
        </w:rPr>
      </w:pP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1"/>
          <w:sz w:val="22"/>
          <w:vertAlign w:val="baseline"/>
        </w:rPr>
        <w:t>OBJAŚNIENIA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>Zgodnie z art 230 ust. 1 ustawy o finansach publicznych - "Inicjatywa w sprawie sporządzania projektu uchwały w sprawie wieloletniej prognozy finansowej i jej zmiany należy wyłącznie do zarządu jednostki samorządu terytorialnego".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 xml:space="preserve">Wieloletnia Prognoza Finansowa obejmuje lata 2017-2030, ponieważ na te lata zaplanowana jest spłata wcześniej zaciągniętych kredytów i pożyczek, zgodnie z art. 227 ust. 2 ufp- "Prognozę kwoty długu, stanowiącą część wieloletniej prognozy finansowej, sporządza się na okres, na który zaciągnięto oraz planuje się zaciągnąć zobowiązanie". Zgodnie z Zarządzeniem Nr 103/2021 Wójta Gminy Skrwilno z dnia 21 grudnia 2021 r. "Do ustalenia relacji określonej w art. 243 ust. 1 ustawy o finansach publicznych przyjmuje się okres siedmiu lat, do wyliczenia średniej arytmetycznej relacji dochodów bieżących powiększonych o dochody ze sprzedaży majątku oraz pomniejszonych o wydatki bieżące do dochodów bieżących budżetu". Dochody  i wydatki w latach 2017-2023 ujęte są w wysokości wynikającej ze sprawozdań Rb-27 S i Rb-28S.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Przepis art 229 ufp wprowadza regułę zgodności danych w relacji pomiędzy WPF a budżetem wyznaczając jednocześnie minimalny jej zakres obejmujący: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1.wynik budżetu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2.kwoty przychodów i rozchodów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3.dług j.s.t.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>Prognoza dochodów na 2024 r. jest zgodna z załącznikiem Nr 1 Uchwały z dnia 28.02.2024 Rady Gminy Skrwilno.Prognoza wydatków jest zgodna z załącznikiem Nr 2 Uchwały z dnia 28.02.2024 r. Rady Gminy Skrwilno. Wydatki majątkowe są zgodne z załącznikiem Nr 3 wspomnianej Uchwały Rady Gminy Skrwilno. W bieżącym roku dochody ogółem są wyższe od wydatków ogółem o kwotę 590.000,00 zł. Kwota za zostanie przeznaczona na spłatę kredytu.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 xml:space="preserve">Przychody budżetu tzn. kwota planowanych do zaciągnięcia kredytów wynosi 850.000,00 zł, aby zachować zasadę bilansowania budżetu .Rozchody budżetu wynoszą 1.440.000,00 zł w tym ujęto kredyt  na prefinansowanie w wysokości 590.000,00 zł, który zgodnie z art.243 ust. 3 jest ustawowo zwolniony   z limitu spłaty zobowiązań.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 xml:space="preserve">Dochody bieżące są wyższe od wydatków bieżących o kwotę 1.385.003,74 zł co spełnia art. 242 ustawy o finansach publicznych. Kwota ta zwiększa wydatki majątkowe. Spełnione są również wymogi określone w art. 243 (Ograniczenie możliwości zaciągania zobowiązań dłużnych) i 244 (Łączna kwota spłat i wykupów) ustawy o finansach publicznych. Wskaźnik zadłużenia ustalany indywidualnie dla każdej jednostki samorządowej, w większym stopniu przy ocenie jej gospodarki finansowej uwzględnia jej sytuację finansową. Wymusza także perspektywiczne planowanie finansowe oraz racjonalizuje limity wydatków   i wielkość deficytu budżetu.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>W wykazie przedsięwzięcia ujęto: Inwestycje w zakresie kanalizacji - uzupełnienie subwencji ogólnej za 2021 r. W 2022 r. sfinansowano wydatek na kwotę 756.885,25 zł. Pozostała kwota w wysokości 1.122.136,75 zł zostanie wydatkowana w 2024 r. Łącznie kwota na inwestycje w zakresie kanalizacji wynosi: 1.879.022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Pozostałe inwestycje są jednoroczne i są ujęte w budżecie gminy.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  <w:t xml:space="preserve">Marlena 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  <w:t>Sztyburska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2024-02-28T12:36:20Z</dcterms:created>
  <cp:lastModifiedBy>Barbara Rygielska</cp:lastModifiedBy>
  <dcterms:modified xsi:type="dcterms:W3CDTF">2024-02-28T11:41:17Z</dcterms:modified>
  <cp:revision>7</cp:revision>
  <dc:subject>zmieniająca uchwałę w sprawie Wieloletniej Prognozy Finansowej Gminy Skrwilno na lata 2024 - 2030</dc:subject>
  <dc:title>Uchwała Nr LIV/359/24 z dnia 28 lutego 2024 r.</dc:title>
</cp:coreProperties>
</file>