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65ACF18" Type="http://schemas.openxmlformats.org/officeDocument/2006/relationships/officeDocument" Target="/word/document.xml" /><Relationship Id="coreR665ACF1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 I/1/24</w:t>
        <w:br w:type="textWrapping"/>
        <w:t>Rady Gminy Skrwilno</w:t>
        <w:br w:type="textWrapping"/>
        <w:t>z dnia 7 maja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REGULAMIN</w:t>
        <w:br w:type="textWrapping"/>
        <w:t>głosowania w wyborach przewodniczącego rady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Radni wybierają ze swego grona przewodniczącego Rady Gminy spośród nieograniczonej liczby kandydatów, w głosowaniu tajnym.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 przeprowadza wybrana spośród radnych komisja skrutacyjna.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Kandydatów na przewodniczącego zgłaszają radni.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 odbywa się przy pomocy kart do głosowania.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5. 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do głosowania sporządza i rozdaje radnym komisja skrutacyjna.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6. 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opatrzone są pieczęcią Rady Gminy Skrwilno.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7. 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kartach do głosowania komisja skrutacyjna umieszcza nazwiska i imiona kandydatów w kolejności alfabetycznej.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każdym nazwisku i imieniu kandydata umieszcza się następujące określenia: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„za”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„przeciw”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„wstrzymuję się”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 każdym określeniem należy umieścić kwadrat w formie pustej kratki, jako miejsce na postawienie znaku „x” przez głosującego.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8. 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 odbywa się na sesji poprzez wywołanie przez członka komisji skrutacyjnej według listy obecności, nazwiska radnego, który podchodzi do urny i w obecności komisji skrutacyjnej wrzuca do niej kartę do głosowania. Podczas głosowania na sali znajduje się miejsce umożliwiające radnym tajne dokonanie wyboru kandydata na karcie do głosowania.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9. 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zakończeniu głosowania komisja skrutacyjna na sali obrad otwiera urnę, oblicza otrzymane przez kandydatów głosy i ustala wyniki głosowania.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10. 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skrutacyjna sporządza protokół głosowania, który powinien zawierać co najmniej następujące dane: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komisji skrutacyjnej,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określenie rodzaju przeprowadzonego głosowania,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imiona i nazwiska kandydatów,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liczby głosów: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56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a)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oddanych głosów,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56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b)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głosów nieważnych,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567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c)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głosów ważnie oddanych „za”, „przeciw”, „wstrzymuję się” na poszczególnych kandydatów.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 podpisują wszyscy członkowie komisji skrutacyjnej, a odczytuje go na sali obrad przewodniczący komisji lub wyznaczony przez niego członek komisji.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Wybrany zostanie ten kandydat, który uzyska bezwzględną większość głosów w obecności co najmniej połowy ustawowego składu rady w głosowaniu tajnym.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 bezwzględną większością głosów oznacza, że przechodzi kandydat, który uzyskał co najmniej jeden głos więcej od sumy pozostałych ważnie oddanych głosów, to znaczy przeciwnych i wstrzymujących.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Ustawowy skład rady gminy to 15 osób.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15. 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przewodniczącego rady odbywa się w obecności co najmniej połowy ustawowego składu rady gminy. Oznacza to, że wybór przewodniczącego rady uzna się za prawidłowy, jeśli w posiedzeniu (sesji) w trakcie głosowania uczestniczy co najmniej 8 radnych.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16. 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Radny dokonuje wyboru poprzez postawienie znaku „x” przy jednym kandydacie, ale przy jednym określeniu: „za”, „przeciw”, „wstrzymuję się”.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17. 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na karcie do głosowania przy nazwisku kandydata postawiono więcej niż jeden znak „x” lub nie postawiono znaku „x” w ogóle, to są to głosy nieważne.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18. 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wyjęte z urny niesporządzone przez komisję skrutacyjną są kartami nieważnymi.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19. 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przypadku, jeśli żaden z kandydatów na przewodniczącego rady nie uzyska bezwzględnej większości głosów w obecności co najmniej połowy ustawowego składu rady, to głosowanie powtarza się ograniczając liczbę kandydatów do dwóch, tych którzy otrzymali w pierwszym głosowaniu największą liczbę głosów „za”.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20. 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przypadku, jeśli kandydaci otrzymają jednakową ilość głosów „za”, to głosowanie powtarza się jeszcze raz.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przypadku, jeśli przeprowadzone głosowania nie doprowadzą do wyboru przewodniczącego rady, to ustala się nowy termin posiedzenia tej samej sesji.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przypadku, kiedy na stanowisko przewodniczącego rady zostanie zgłoszona tylko jedna kandydatura, to wybór uzna się za prawidłowy, jeśli kandydat otrzyma bezwzględną większość głosów w obecności co najmniej połowy ustawowego składu rady, w głosowaniu tajnym.</w:t>
      </w: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2024-04-30T09:29:11Z</dcterms:created>
  <cp:lastModifiedBy>Barbara Rygielska</cp:lastModifiedBy>
  <dcterms:modified xsi:type="dcterms:W3CDTF">2024-05-07T08:12:23Z</dcterms:modified>
  <cp:revision>6</cp:revision>
  <dc:subject>w sprawie ustalenia regulaminu głosowania w wyborach przewodniczącego Rady Gminy Skrwilno</dc:subject>
  <dc:title>Uchwała z dnia 7 maja 2024 r.</dc:title>
</cp:coreProperties>
</file>