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D709EB" Type="http://schemas.openxmlformats.org/officeDocument/2006/relationships/officeDocument" Target="/word/document.xml" /><Relationship Id="coreR4ED709E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II/3/24</w:t>
        <w:br w:type="textWrapping"/>
        <w:t>Rady Gminy Skrwilno</w:t>
        <w:br w:type="textWrapping"/>
        <w:t>z dnia 15 maja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REGULAMIN</w:t>
        <w:br w:type="textWrapping"/>
        <w:t>głosowania w wyborach wiceprzewodniczącego rady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Radni wybierają ze swego grona wiceprzewodniczącego Rady Gminy spośród nieograniczonej liczby kandydatów, w głosowaniu tajnym.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Głosowanie przeprowadza wybrana spośród radnych komisja skrutacyjna.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Kandydatów na wiceprzewodniczącego zgłaszają radni.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Głosowanie odbywa się przy pomocy kart do głosowania.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Karty do głosowania sporządza i rozdaje radnym komisja skrutacyjna.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Karty opatrzone są pieczęcią Rady Gminy Skrwilno.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7. 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 kartach do głosowania komisja skrutacyjna umieszcza nazwiska i imiona kandydatów w kolejności alfabetycznej.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Przy każdym nazwisku i imieniu kandydata umieszcza się następujące określenia: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„za”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„przeciw”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„wstrzymuję się”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Przed każdym określeniem należy umieścić kwadrat w formie pustej kratki, jako miejsce na postawienie znaku „x” przez głosującego.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8. 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Głosowanie odbywa się na sesji poprzez wywołanie przez członka komisji skrutacyjnej według listy obecności, nazwiska radnego, który podchodzi do urny i w obecności komisji skrutacyjnej wrzuca do niej kartę do głosowania. Podczas głosowania na sali znajduje się miejsce umożliwiające radnym tajne dokonanie wyboru kandydata na karcie do głosowania.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9. 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 zakończeniu głosowania komisja skrutacyjna na sali obrad otwiera urnę, oblicza otrzymane przez kandydatów głosy i ustala wyniki głosowania.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10. 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Komisja skrutacyjna sporządza protokół głosowania, który powinien zawierać co najmniej następujące dane: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skład komisji skrutacyjnej,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określenie rodzaju przeprowadzonego głosowania,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imiona i nazwiska kandydatów,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podanie liczby głosów: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oddanych głosów,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głosów nieważnych,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c)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głosów ważnie oddanych „za”, „przeciw”, „wstrzymuję się” na poszczególnych kandydatów.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Protokół podpisują wszyscy członkowie komisji skrutacyjnej, a odczytuje go na sali obrad przewodniczący komisji lub wyznaczony przez niego członek komisji.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Wybrany zostanie ten kandydat, który uzyska bezwzględną większość głosów w obecności co najmniej połowy ustawowego składu rady w głosowaniu tajnym.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Głosowanie bezwzględną większością głosów oznacza, że przechodzi kandydat, który uzyskał co najmniej jeden głos więcej od sumy pozostałych ważnie oddanych głosów, to znaczy przeciwnych i wstrzymujących.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Ustawowy skład rady gminy to 15 osób.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Wybór wiceprzewodniczącego rady odbywa się w obecności co najmniej połowy ustawowego składu rady gminy. Oznacza to, że wybór wiceprzewodniczącego rady uzna się za prawidłowy, jeśli w posiedzeniu (sesji) w trakcie głosowania uczestniczy co najmniej 8 radnych.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16. 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Radny dokonuje wyboru poprzez postawienie na karcie do głosowania znaku „x” przy jednym kandydacie, ale przy jednym określeniu: „za”, „przeciw”, „wstrzymuję się”.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17. 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Jeżeli na karcie do głosowania przy nazwisku kandydata postawiono więcej niż jeden znak „x” lub nie postawiono znaku „x” w ogóle, to są to głosy nieważne.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18. 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Karty wyjęte z urny niesporządzone przez komisję skrutacyjną są kartami nieważnymi.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19. 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przypadku, jeśli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je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den z  kandydatów na wiceprzewodniczącego rady nie uzyska bezwzględnej większości głosów w obecności co najmniej połowy ustawowego składu rady, to głosowanie powtarza się ograniczając liczbę kandydatów do dwóch, tych którzy otrzymali w pierwszym głosowaniu największą liczbę głosów „za”.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20. 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przypadku, kiedy kandydaci otrzymają jednakową ilość głosów „za”, to głosowanie powtarza się jeszcze raz.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przypadku, jeśli przeprowadzone głosowania nie doprowadzą do wyboru wiceprzewodniczącego rady, to ustala się nowy termin posiedzenia tej samej sesji.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przypadku, kiedy na stanowisko wiceprzewodniczącego rady zostanie zgłoszona tylko jedna kandydatura, to wybór uzna się za prawidłowy, jeśli kandydat otrzyma bezwzględną większość głosów w obecności co najmniej połowy ustawowego składu rady, w głosowaniu tajnym.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ADM</dc:creator>
  <dcterms:created xsi:type="dcterms:W3CDTF">2024-04-24T09:32:21Z</dcterms:created>
  <cp:lastModifiedBy>Barbara Rygielska</cp:lastModifiedBy>
  <dcterms:modified xsi:type="dcterms:W3CDTF">2024-05-21T10:12:04Z</dcterms:modified>
  <cp:revision>8</cp:revision>
  <dc:subject>w sprawie ustalenia regulaminu głosowania w wyborach wiceprzewodniczącego Rady Gminy Skrwilno</dc:subject>
  <dc:title>Uchwała z dnia 7 maja 2024 r.</dc:title>
</cp:coreProperties>
</file>