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E7ECA06" Type="http://schemas.openxmlformats.org/officeDocument/2006/relationships/officeDocument" Target="/word/document.xml" /><Relationship Id="coreRE7ECA0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dochodach budżetowych: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xml:space="preserve">·W dziale 600 Transport i łączność, w rozdziale 60016 Drogi publiczne gminne, na paragrafie 0620 Wpływy z opłat za zezwolenie, akredytacje oraz opłaty ewidencyjne, w tym opłaty za częstotliwość wprowadzono plan dochodów w kwocie  98.240,00 zł za udostępnianie pasa drogowego, a zmniejszono plan dochodów na paragrafie 0970 Wpływy z różnych dochodów o kwotę 91.000,00 zł na którym był ujęty plan dochodów za udostępnianie pasa drogowego. Na paragrafie 6207 Dotacja celowa w ramach programów finansowanych z udziałem środków europejskich oraz środków, o których mowa w art. 5 ust. 1 pkt. 3 oraz ust. 3 pkt 5 i 6 ustawy, lub płatności w ramach budżetu środków europejskich, z wyłączeniem dochodów klasyfikowanych w paragrafie 625 zwiększono plan dochodów o kwotę 3.854,00 zł w związku z " Przebudową drogi gminnej Mościska - Czarnia Duża ". Na paragrafie 6350 Środki otrzymane z państwowych funduszy celowych na finansowanie lub dofinansowanie kosztów realizacji inwestycji i zakupów inwestycyjnych jednostek sektora finansów publicznych wprowadza się kwotę 3.093.185,00 zł z Rządowego Funduszu Rozwoju Dróg na realizacje inwestycji : " Budowa i przebudowa drogi gminnej nr 120412 C Skudzawy - Skrwilno ETAP 2 - od km 0+000,00 do km 3+161,50".</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750 Administracja publiczna, w rozdziale 75075 Promocja jednostek samorządu terytorialnego, na paragrafie 2057 Dotacja celowa w ramach programów finansowanych z udziałem środków europejskich oraz środków, o których mowa w art. 5 ust. 3 pkt 5 lit. a i b ustawy, lub płatności w ramach budżetu środków europejskich, realizowanych przez jednostki samorządu terytorialnego wprowadza się kwotę 31.815,00 zł w związku z zakupem instrumentów muzycznych dla orkiestry dętej w Skrwilnie- rozliczenie umowy.</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xml:space="preserve">·W dziale 756 Dochody od osób prawnych, od osób fizycznych i od innych jednostek  nieposiadających osobowości prawnej oraz wydatki związane z ich poborem, w rozdziale 75616 Wpływy z podatku rolnego, podatku leśnego, podatku od spadków i darowizn, podatku od czynności cywilno-prawnych oraz podatków i opłat lokalnych od osób fizycznych, na paragrafie 0430 Wpływy z opłaty targowej zwiększono plan dochodów o kwotę 10.000,00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801 Oświata i wychowanie , w rozdziale 80104 Przedszkola wprowadzono korektę paragrafów dotyczących Programu " Dwujęzyczne przedszkolaki Kujaw i Pomorza" oraz symboli finansowania.</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xml:space="preserve">·W dziale 900 Gospodarka komunalna i ochrona środowiska, w rozdziale 90001 Gospodarka ściekowa i ochrona wód, na paragrafie 0830 Wpływy z usług zwiększono plan dochodów o kwotę  40.000,00 zł za odprowadzenie ścieków. W rozdziale 90002 Gospodarka odpadami komunalnymi, na paragrafie 0970 Wpływy z różnych dochodów wprowadza się plan dochodów na kwotę 1.628,00 zł za sprzedaż autobusu szkolnego ze szkoły w Skudzawach  na złom. W rozdziale 90005 Ochrona powietrza atmosferycznego i klimatu, na paragrafie 2460 Środki otrzymane od pozostałych jednostek zaliczanych do sektora finansów publicznych na realizację zadań bieżących jednostek zaliczanych do sektora finansów publicznych wprowadza się plan dochodów w wysokości 5.483,00 zł na prowadzenie punktu konsultacyjnego w związku z Programem Czyste Powietrze zgodnie z Umową TO 23089 z WFOŚiGW. W rozdziale 90019 Wpływy i wydatki związane z gromadzeniem środków z opłat i kar za korzystanie ze środowiska, na paragrafie 0970 Wpływy z różnych dochodów na kwotę 3.735,00 zł. W rozdziale 90026 Pozostała działalność związana z gospodarką odpadami, na paragrafie 2460 Środki otrzymane od pozostałych jednostek zaliczanych do sektora finansów publicznych na realizację zadań bieżących jednostek zaliczanych do sektora finansów publicznych wprowadza się plan w wysokości 66.958,50 zł na unieszkodliwienie wyrobów zawierających azbest z terenu Gminy Skrwilno.</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dochodów po zmianach wynosi: 58.552.288,01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wydatkach budżetowych: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600 Transport i łączność, w rozdziale 60016 Drogi publiczne gminne, na paragrafie 6050 Wydatki inwestycyjne jednostek budżetowych wprowadza się plan wydatków w kwocie 3.093.185,00 zł na zadanie inwestycyjne pn.:" Budowa i przebudowa drogi gminnej nr 120412 C Skudzawy - Skrwilno ETAP 2 - od km 0+000,00 do km 3+161,50".</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710 Działalność usługowa, w rozdziale 71004 Plany zagospodarowania przestrzennego, na paragrafie 6050 Wydatki inwestycyjne jednostek budżetowych zwiększa się plan wydatków o 700,00 zł na opracowanie planów zagospodarowania przestrzennego.</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754 Bezpieczeństwo publiczne i ochrona przeciwpożarowa, w rozdziale 75411 Komendy Powiatowej Państwowej Straży Pożarnej, na paragrafie 2300 Wpłaty jednostek na państwowy fundusz celowy wprowadza się plan wydatków na kwotę 1.500,00 zł na finansowe wsparcie dla Komendy Powiatowej Państwowej Straży Pożarnej w Rypinie.</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900 Gospodarka komunalna i ochrona środowiska, w rozdziale 90026 Pozostałe działania związane z gospodarką odpadami, na paragrafie 4300 Zakup usług pozostałych wprowadza się plan wydatków w wysokości 66.958,50 zł na unieszkodliwienie wyrobów zawierających azbest z terenu gminy Skrwilno.</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921 Kultura i ochrona dziedzictwa narodowego, w rozdziale 92109 Domy i ośrodki kultury, świetlice i kluby, na paragrafie 6050 Wydatki inwestycyjne jednostek budżetowych wprowadza się plan wydatków w kwocie 101.555,00 zł z przeznaczeniem na zakup gruntu w miejscowości Szczawno pod świetlice wiejską - 60.700,00 zł oraz na " Rozbudowę budynku świetlicy wiejskiej w Czarni Dużej - 40.855,00 zł.</w:t>
      </w:r>
    </w:p>
    <w:p>
      <w:pPr>
        <w:keepNext w:val="1"/>
        <w:keepLines w:val="1"/>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wydatków po zmianach wynosi: 57.962.288,01 zł.</w:t>
      </w:r>
    </w:p>
    <w:p>
      <w:pPr>
        <w:keepNext w:val="1"/>
        <w:spacing w:before="0" w:after="0" w:beforeAutospacing="0" w:afterAutospacing="0"/>
        <w:rPr>
          <w:rFonts w:ascii="Times New Roman" w:hAnsi="Times New Roman"/>
          <w:b w:val="0"/>
          <w:i w:val="0"/>
          <w:caps w:val="0"/>
          <w:sz w:val="22"/>
          <w:u w:val="none"/>
          <w:vertAlign w:val="baseline"/>
        </w:rPr>
      </w:pPr>
      <w:r>
        <w:rPr>
          <w:b w:val="0"/>
          <w:i w:val="0"/>
          <w:color w:val="000000"/>
          <w:u w:val="none"/>
          <w:vertAlign w:val="baseline"/>
        </w:rPr>
        <w:t> </w:t>
      </w:r>
    </w:p>
    <w:tbl>
      <w:tblPr>
        <w:tblLayout w:type="fixed"/>
        <w:tblCellMar>
          <w:top w:w="0" w:type="dxa"/>
          <w:left w:w="0" w:type="dxa"/>
          <w:bottom w:w="0" w:type="dxa"/>
          <w:right w:w="0" w:type="dxa"/>
        </w:tblCellMar>
      </w:tblPr>
      <w:tblGrid/>
      <w:tr>
        <w:tblPrEx>
          <w:tblW w:w="5000" w:type="pct"/>
          <w:tblCellMar>
            <w:top w:w="0" w:type="dxa"/>
            <w:left w:w="0" w:type="dxa"/>
            <w:bottom w:w="0" w:type="dxa"/>
            <w:right w:w="0" w:type="dxa"/>
          </w:tblCellMar>
        </w:tblPrEx>
        <w:tc>
          <w:tcPr>
            <w:tcW w:w="4935" w:type="dxa"/>
            <w:noWrap w:val="0"/>
            <w:tcMar>
              <w:top w:w="0" w:type="dxa"/>
              <w:left w:w="0" w:type="dxa"/>
              <w:bottom w:w="0" w:type="dxa"/>
              <w:right w:w="0" w:type="dxa"/>
            </w:tcMar>
            <w:vAlign w:val="top"/>
            <w:hideMark/>
          </w:tcPr>
          <w:p>
            <w:pPr>
              <w:jc w:val="left"/>
              <w:rPr>
                <w:rFonts w:ascii="Times New Roman" w:hAnsi="Times New Roman"/>
                <w:b w:val="0"/>
                <w:i w:val="0"/>
                <w:color w:val="000000"/>
                <w:sz w:val="22"/>
              </w:rPr>
            </w:pPr>
          </w:p>
        </w:tc>
        <w:tc>
          <w:tcPr>
            <w:tcW w:w="4935" w:type="dxa"/>
            <w:noWrap w:val="0"/>
            <w:tcMar>
              <w:top w:w="0" w:type="dxa"/>
              <w:left w:w="0" w:type="dxa"/>
              <w:bottom w:w="0" w:type="dxa"/>
              <w:right w:w="0" w:type="dxa"/>
            </w:tcMar>
            <w:vAlign w:val="top"/>
            <w:hideMark/>
          </w:tcPr>
          <w:p>
            <w:pPr>
              <w:keepNext w:val="1"/>
              <w:keepLines w:val="1"/>
              <w:spacing w:before="560" w:after="560" w:beforeAutospacing="0" w:afterAutospacing="0"/>
              <w:ind w:firstLine="0" w:left="1134" w:right="1134"/>
              <w:jc w:val="center"/>
              <w:rPr>
                <w:rFonts w:ascii="Times New Roman" w:hAnsi="Times New Roman"/>
                <w:b w:val="1"/>
                <w:i w:val="0"/>
                <w:color w:val="000000"/>
                <w:sz w:val="22"/>
              </w:rPr>
            </w:pPr>
            <w:r>
              <w:rPr>
                <w:rFonts w:ascii="Times New Roman" w:hAnsi="Times New Roman"/>
                <w:b w:val="0"/>
                <w:i w:val="0"/>
                <w:color w:val="000000"/>
                <w:sz w:val="22"/>
              </w:rPr>
              <w:fldChar w:fldCharType="begin"/>
            </w:r>
            <w:r>
              <w:rPr>
                <w:rFonts w:ascii="Times New Roman" w:hAnsi="Times New Roman"/>
                <w:b w:val="0"/>
                <w:i w:val="0"/>
                <w:color w:val="000000"/>
                <w:sz w:val="22"/>
              </w:rPr>
              <w:instrText>MERGEFIELD SIGNATURE_0_0__FUNCTION \* MERGEFORMAT</w:instrText>
            </w:r>
            <w:r>
              <w:rPr>
                <w:rFonts w:ascii="Times New Roman" w:hAnsi="Times New Roman"/>
                <w:b w:val="0"/>
                <w:i w:val="0"/>
                <w:color w:val="000000"/>
                <w:sz w:val="22"/>
              </w:rPr>
              <w:fldChar w:fldCharType="separate"/>
            </w:r>
            <w:r>
              <w:rPr>
                <w:rFonts w:ascii="Times New Roman" w:hAnsi="Times New Roman"/>
                <w:b w:val="0"/>
                <w:i w:val="0"/>
                <w:color w:val="000000"/>
                <w:sz w:val="22"/>
              </w:rPr>
              <w:t>Przewodniczący Rady</w:t>
            </w:r>
            <w:r>
              <w:rPr>
                <w:rFonts w:ascii="Times New Roman" w:hAnsi="Times New Roman"/>
                <w:b w:val="0"/>
                <w:i w:val="0"/>
                <w:color w:val="000000"/>
                <w:sz w:val="22"/>
              </w:rPr>
              <w:fldChar w:fldCharType="end"/>
            </w:r>
            <w:r>
              <w:rPr>
                <w:rFonts w:ascii="Times New Roman" w:hAnsi="Times New Roman"/>
                <w:b w:val="0"/>
                <w:i w:val="0"/>
                <w:color w:val="000000"/>
                <w:sz w:val="22"/>
              </w:rPr>
              <w:br w:type="textWrapping"/>
              <w:br w:type="textWrapping"/>
              <w:br w:type="textWrapping"/>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SIGNATURE_0_0_FIRSTNAME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Jacek</w:t>
            </w:r>
            <w:r>
              <w:rPr>
                <w:rFonts w:ascii="Times New Roman" w:hAnsi="Times New Roman"/>
                <w:b w:val="1"/>
                <w:i w:val="0"/>
                <w:color w:val="000000"/>
                <w:sz w:val="22"/>
              </w:rPr>
              <w:fldChar w:fldCharType="end"/>
            </w:r>
            <w:r>
              <w:rPr>
                <w:rFonts w:ascii="Times New Roman" w:hAnsi="Times New Roman"/>
                <w:b w:val="1"/>
                <w:i w:val="0"/>
                <w:color w:val="000000"/>
                <w:sz w:val="22"/>
              </w:rPr>
              <w:t> </w:t>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SIGNATURE_0_0_LASTNAME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Tyburski</w:t>
            </w:r>
            <w:r>
              <w:rPr>
                <w:rFonts w:ascii="Times New Roman" w:hAnsi="Times New Roman"/>
                <w:b w:val="1"/>
                <w:i w:val="0"/>
                <w:color w:val="000000"/>
                <w:sz w:val="22"/>
              </w:rPr>
              <w:fldChar w:fldCharType="end"/>
            </w:r>
            <w:r>
              <w:rPr>
                <w:rFonts w:ascii="Times New Roman" w:hAnsi="Times New Roman"/>
                <w:b w:val="1"/>
                <w:i w:val="0"/>
                <w:color w:val="000000"/>
                <w:sz w:val="22"/>
              </w:rPr>
              <w:t> </w:t>
            </w:r>
          </w:p>
        </w:tc>
      </w:tr>
    </w:tbl>
    <w:p>
      <w:pPr>
        <w:keepNext w:val="1"/>
        <w:spacing w:before="0" w:after="0" w:beforeAutospacing="0" w:afterAutospacing="0"/>
        <w:rPr>
          <w:rFonts w:ascii="Times New Roman" w:hAnsi="Times New Roman"/>
          <w:b w:val="0"/>
          <w:i w:val="0"/>
          <w:caps w:val="0"/>
          <w:sz w:val="22"/>
          <w:u w:val="none"/>
          <w:vertAlign w:val="baseline"/>
        </w:rPr>
      </w:pP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barbara.rygielska</dc:creator>
  <dcterms:created xsi:type="dcterms:W3CDTF">2024-05-14T09:59:20Z</dcterms:created>
  <cp:lastModifiedBy>Barbara Rygielska</cp:lastModifiedBy>
  <dcterms:modified xsi:type="dcterms:W3CDTF">2024-05-21T10:28:30Z</dcterms:modified>
  <cp:revision>9</cp:revision>
  <dc:subject>zmieniająca uchwałę w sprawie budżetu na 2024 r.</dc:subject>
  <dc:title>Uchwała z dnia 15 maja 2024 r.</dc:title>
</cp:coreProperties>
</file>