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69710C1" Type="http://schemas.openxmlformats.org/officeDocument/2006/relationships/officeDocument" Target="/word/document.xml" /><Relationship Id="coreR369710C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Zgodnie z art. 6r ust. 2da pkt. 1 z dnia 13 września 1996 r. o utrzymaniu czystości  i porządku w gminach (Dz.U.2024.399) w przypadku gdy środki pozyskane z opłat za gospodarowanie odpadami komunalnymi są niewystarczające na pokrycie kosztów funkcjonowania systemu gospodarowania odpadami komunalnymi, w tym kosztów, o których mowa w ust. 2-2c, Rada gminy może postanowić, w drodze uchwały, o pokryciu części kosztów gospodarowania odpadami komunalnymi z dochodów własnych niepochodzących z pobranej opłaty za gospodarowanie odpadami komunalnymi.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2024 roku wpływy z tytułu opłaty za gospodarowanie odpadami komunalnymi nie pokrywają kosztów funkcjonowania systemu gospodarowania odpadami komunalnymi, w związku z tym należało podjąć niniejszą uchwałę.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2024-10-24T09:32:03Z</dcterms:created>
  <cp:lastModifiedBy>Barbara Rygielska</cp:lastModifiedBy>
  <dcterms:modified xsi:type="dcterms:W3CDTF">2024-10-29T11:05:26Z</dcterms:modified>
  <cp:revision>6</cp:revision>
  <dc:subject>w sprawie pokrycia części kosztów gospodarowania odpadami komunalnymi z dochodów własnych niepochodzących z pobranej opłaty za gospodarowanie odpadami komunalnymi</dc:subject>
  <dc:title>Uchwała z dnia 29 października 2024 r.</dc:title>
</cp:coreProperties>
</file>