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3901B8" Type="http://schemas.openxmlformats.org/officeDocument/2006/relationships/officeDocument" Target="/word/document.xml" /><Relationship Id="coreR2D3901B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VII/39/24</w:t>
        <w:br w:type="textWrapping"/>
        <w:t>Rady Gminy Skrwilno</w:t>
        <w:br w:type="textWrapping"/>
        <w:t>z dnia 28 listopada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auto"/>
          <w:sz w:val="22"/>
          <w:u w:val="none"/>
          <w:vertAlign w:val="baseline"/>
        </w:rPr>
        <w:t xml:space="preserve">STAWKI PODATKU DLA POJAZDÓW OKREŚLONYCH w art. 8 pkt 2 USTAWY 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1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Liczba osi i dopuszczalna masa całkowita</w:t>
            </w:r>
          </w:p>
          <w:p>
            <w:pPr>
              <w:jc w:val="center"/>
            </w:pPr>
            <w:r>
              <w:t>(w tonach)</w:t>
            </w:r>
          </w:p>
        </w:tc>
        <w:tc>
          <w:tcPr>
            <w:tcW w:w="5670" w:type="dxa"/>
            <w:gridSpan w:val="2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 mniej niż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Mniej niż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Oś jezdna (osie jezdne) z zawieszeniem pneumatycznym lub zawieszeniem uznanym za równoważne 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Inny system zawieszenia osi jezdnych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 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Dwie osie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13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1522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13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14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1522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14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15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1620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15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1620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79"/>
        </w:trPr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Trzy osie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7"/>
        </w:trPr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17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1102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17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19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1348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19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21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1728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21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23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2194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23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2582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3106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3202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35"/>
        </w:trPr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Cztery osie i więcej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1852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27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2256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27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29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2616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29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31 </w:t>
            </w: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2966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3486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9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31 </w:t>
            </w:r>
          </w:p>
        </w:tc>
        <w:tc>
          <w:tcPr>
            <w:tcW w:w="18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3794</w:t>
            </w:r>
          </w:p>
        </w:tc>
        <w:tc>
          <w:tcPr>
            <w:tcW w:w="253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3780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2024-11-04T11:19:12Z</dcterms:created>
  <cp:lastModifiedBy>Barbara Rygielska</cp:lastModifiedBy>
  <dcterms:modified xsi:type="dcterms:W3CDTF">2024-11-29T08:08:56Z</dcterms:modified>
  <cp:revision>23</cp:revision>
  <dc:subject>w sprawie określenia wysokości stawek podatku od środków transportowych</dc:subject>
  <dc:title>Uchwała z dnia 28 listopada 2024 r.</dc:title>
</cp:coreProperties>
</file>