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913CA2" Type="http://schemas.openxmlformats.org/officeDocument/2006/relationships/officeDocument" Target="/word/document.xml" /><Relationship Id="coreR71913C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Nieruchomości będące przedmiotem nabycia stanowią własność osób fizycznych. Nabycia nieruchomości opisanych w § 1 dokonuje się na cele publiczne określone w art. 6 pkt 9c ustawy z dnia 21 sierpnia 1997 roku o gospodarce nieruchomościami (Dz. U. z 2024r. poz. 1145, 1222, 1717) - urządzenie placu przy świetlicy wiejskiej w Skudzawach.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Stosownie do treści art. 18 ust 2 pkt 9 litera a ustawy z dnia 8 marca 1990 roku o samorządzie gminnym (Dz. U. z 2024 r. poz. 1465, 1572) do wyłącznej właściwości rady gminy należy podejmowanie uchwał w sprawach majątkowych gminy, przekraczających zakres zwykłego zarządu, dotyczących: określenie zasad nabywania, zbywania i obciążania nieruchomości oraz ich wydzierżawiania lub wynajmowania na czas oznaczony dłuższy niż 3 lata lub na czas nieoznaczony, o ile ustawy szczególne nie stanowią inaczej; uchwała rady gminy jest wymagana również w przypadku, gdy po umowie zawartej na czas oznaczony do 3 lat strony zawierają kolejne umowy, których przedmiotem jest ta sama nieruchomość; do czasu określenia zasad wójt może dokonywać tych czynności wyłącznie za zgodą rady gminy.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Gminy wyrażająca zgodę na nabycie nieruchomości będzie stanowić podstawę do zakupu ww. nieruchomości w formie umowy cywilno-prawnej.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2025-01-02T13:05:40Z</dcterms:created>
  <cp:lastModifiedBy>Barbara Rygielska</cp:lastModifiedBy>
  <dcterms:modified xsi:type="dcterms:W3CDTF">2025-01-14T10:35:18Z</dcterms:modified>
  <cp:revision>8</cp:revision>
  <dc:subject>w sprawie wyrażenia zgody na nabycie nieruchomości na rzecz Gminy Skrwilno</dc:subject>
  <dc:title>Uchwała</dc:title>
</cp:coreProperties>
</file>