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59C5664" Type="http://schemas.openxmlformats.org/officeDocument/2006/relationships/officeDocument" Target="/word/document.xml" /><Relationship Id="coreR159C566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  <w:lang w:val="pl-PL" w:bidi="pl-PL" w:eastAsia="pl-PL"/>
        </w:rPr>
      </w:pP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W dniu 11 marca 2025 roku do Rady Gminy Skrwilno wpłynęła petycja Ogólnopolskiego Zrzeszenia Sędziów "AEQUITAS" z siedzibą w Łodzi w obronie konstytucyjnej zasady niezawisłości i niezależności sędziów polskich.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  <w:lang w:val="pl-PL" w:bidi="pl-PL" w:eastAsia="pl-PL"/>
        </w:rPr>
      </w:pP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ab/>
        <w:t>Petycja została poddana analizie przez Komisję Skarg, Wniosków i Petycji Rady Gminy Skrwilno podczas posiedzenia, które odbyło się 18 marca 2025 roku.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2 ust. 3 ustawy z dnia 11 lipca 2014 roku o petycjach (Dz. U. z 2018r. poz. 870) przedmiotem petycji może być żądanie, w szczególności, zmiany przepisów prawa, podjęcia rozstrzygnięcia lub innego działania w sprawie dotyczącej podmiotu wnoszącego petycję, życia zbiorowego lub wartości wymagających szczególnej ochrony w imię dobra wspólnego, mieszczących się w zakresie zadań i kompetencji adresata petycji.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Przedmiotem żądania zawartego w petycji jest zmiana obowiązujących przepisów prawa.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118 Konstytucji RP inicjatywa ustawodawcza przysługuje posłom, Senatowi, Prezydentowi Rzeczypospolitej i Radzie Ministrów oraz grupie co najmniej 100 000 obywateli mających prawo wybierania do Sejmu.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Postulat wymieniony w petycji według przepisów prawa nie mieści się w zakresie zadań i kompetencji Rady Gminy.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Według art. 6 ust. 1 adresat petycji, który jest niewłaściwy do jej rozpatrzenia, przesyła ją niezwłocznie, nie później jednak niż w terminie 30 dni od dnia jej złożenia, do podmiotu właściwego do rozpatrzenia petycji, zawiadamiając o tym równocześnie podmiot wnoszący petycję.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powyższym przekazanie petycji Prezesowi Rady Ministrów jest zasadne.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Jacek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Tyburski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2025-04-09T08:01:02Z</dcterms:created>
  <cp:lastModifiedBy>Barbara Rygielska</cp:lastModifiedBy>
  <dcterms:modified xsi:type="dcterms:W3CDTF">2025-04-10T07:00:18Z</dcterms:modified>
  <cp:revision>21</cp:revision>
  <dc:subject>w sprawie przekazania petycji według właściwości</dc:subject>
  <dc:title>Uchwała</dc:title>
</cp:coreProperties>
</file>