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C16F1C" Type="http://schemas.openxmlformats.org/officeDocument/2006/relationships/officeDocument" Target="/word/document.xml" /><Relationship Id="coreR2C16F1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dochodach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600 Transport i łączność, w rozdziale 60016 Drogi publiczne gminne, na paragrafie 6290 Środki na dofinansowanie własnych inwestycji gmin, powiatów, samorządów województw, pozyskane z innych źródeł zmniejszono plan dochodów o kwotę 3.093.184,00 zł. W/w kwota została ujęta w budżecie na podstawie Umowy 20G/1/2024 RFRD na Budowę i przebudowę drogi gminnej Skudzawy- Skrwilno. Kwota ta była ujęta w budżecie na 2024 r. oraz ujęto ją również w 2025 r., ponieważ w 2025 r. zadanie zostało sfinansowane. Kwota dofinansowania wpłynęła w dniu 12.12.2024 r. i nie było już możliwości usunięcia jej z projektu na 2025 r. Kwota ta została ujęta w wolnych środkach.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dochodów po zmianach wynosi: 47.103.825,86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wydatkach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710 Działalność usługowa, w rozdziale 71004 Plany zagospodarowania przestrzennego, na paragrafie 6050 Wydatki inwestycyjne jednostek budżetowych zwiększono plan wydatków z przeznaczeniem na : " Sporządzenie planu ogólnego gminy Skrwilno" o kwotę 120.000,00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750 Administracja publiczna, w rozdziale 75023 Urzędy gmin, na paragrafie 4010 Wynagrodzenia osobowe pracowników zwiększono plan wydatków o kwotę 200.013,57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754 Bezpieczeństwo publiczne i ochrona przeciwpożarowa, w rozdziale 75411 Komendy powiatowe Państwowej Straży Pożarnej, na paragrafie 2300 Wpłaty jednostek na państwowy fundusz celowy wprowadzono plan wydatków na kwotę 5.000,00 zł, z przeznaczeniem na zakup monitorów oraz ergonomicznych krzeseł jako wyposażenie dla pracowników administracyjnych.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921 Kultura i ochrona dziedzictwa narodow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e</w:t>
      </w:r>
      <w:r>
        <w:rPr>
          <w:rFonts w:ascii="Times New Roman" w:hAnsi="Times New Roman"/>
          <w:b w:val="0"/>
          <w:caps w:val="0"/>
          <w:sz w:val="22"/>
        </w:rPr>
        <w:t xml:space="preserve">go, w rozdziale 92109 Domy i ośrodki kultury, świetlice i kluby, na paragrafie 2480 Dotacja podmiotowa z budżetu dla samorządowej  instytucji kultury zwiększono plan dotacji o kwotę 72.900,00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wydatków po zmianach wynosi 53.394.923,43 zł.</w:t>
      </w:r>
    </w:p>
    <w:p>
      <w:pPr>
        <w:keepNext w:val="1"/>
        <w:keepLines w:val="1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 wprowadzeniu wolnych środków w wysokości 3.491.097,57 zł deficyt budżetu wynosi 6.291.097,57 zł, który zostanie pokryty z zaciągniętych kredytów w BOŚ w kwocie 2.800.000,00 zł oraz wolnymi środkami w wysokości 3.491.097,57 zł jako nadwyżki środków pieniężnych na rachunku bieżącym budżetu jednostki samorządu terytorialnego.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2025-05-28T14:25:54Z</dcterms:created>
  <cp:lastModifiedBy>Barbara Rygielska</cp:lastModifiedBy>
  <dcterms:modified xsi:type="dcterms:W3CDTF">2025-05-29T12:35:41Z</dcterms:modified>
  <cp:revision>13</cp:revision>
  <dc:subject>zmieniająca uchwałę w sprawie budżetu na 2025 r.</dc:subject>
  <dc:title>Uchwała z dnia 29 maja 2025 r.</dc:title>
</cp:coreProperties>
</file>