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FD30E1" Type="http://schemas.openxmlformats.org/officeDocument/2006/relationships/officeDocument" Target="/word/document.xml" /><Relationship Id="coreR62FD30E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10 ust. 2 ustawy z dnia 8 marca 1990r. o samorządzie gminnym (Dz.U. z 2024 r. poz. 1465 ze zm.) gminy i związki międzygminne oraz jednostki samorządu terytorilnego mogą sobie wzajemnie udzielać pomocy, w tym pomocy finansowej. Powiat Rypiński wystąpił o udzielenie pomocy finasowej na dofinansowanie remontu Warsztatu Terapii Zajęciowej "Nadzieja" w Rypinie.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zachodzi konieczność podjęcia przedmiotowej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2025-06-06T14:47:45Z</dcterms:created>
  <cp:lastModifiedBy>Barbara Rygielska</cp:lastModifiedBy>
  <dcterms:modified xsi:type="dcterms:W3CDTF">2025-06-17T13:05:33Z</dcterms:modified>
  <cp:revision>8</cp:revision>
  <dc:subject>w sprawie udzielenia pomocy finansowej Powiatowi Rypińskiemu na dofinansowanie remontu Warsztatu Terapii Zajęciowej "Nadzieja" w Rypinie</dc:subject>
  <dc:title>Uchwała</dc:title>
</cp:coreProperties>
</file>