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4A86DC6" Type="http://schemas.openxmlformats.org/officeDocument/2006/relationships/officeDocument" Target="/word/document.xml" /><Relationship Id="coreR54A86DC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Zmian dokonano w dochodach budżetowych:</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 xml:space="preserve">·W dziale 600 Transport i łączność, w rozdziale 60016 Drogi Publiczne gminne,  na paragrafie 0620 Wpływy z opłat za zezwolenia, akredytacje oraz opłaty ewidencyjne, w tym opłaty za częstotliwość zwiększono plan dochodów o kwotę 17.342,61 zł jako dochody z tytułu wpływów z opłat za zajęcie pasa drogowego, na paragrafie 0950 Wpływy z tytułu kar i odszkodowań wynikających z umów wprowadzono plan dochodów na kwotę 3.704,40 zł zgodnie z decyzją Wojewody Kujawsko-Pomorskiego wpłacono odszkodowanie za prawo własności nieruchomości objętej decyzją  z dnia 19 kwietnia 2024 r. nr 3/2024 o zezwoleniu na realizację inwestycji drogowej pn. : " Przebudowa wraz z rozbudową drogi wojewódzkiej nr 563 Rypin -Żuromin- Mława".</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750 Administracja Publiczna, w rozdziale 75023 Urzędy gmin, na paragrafie 2007 Dotacja celowa w ramach programów finansowanych z udziałem środków europejskich oraz środków, o których mowa w art. 5 ust. 1 pkt 3 oraz ust. 3 pkt 5 i 6 ustawy, lub płatności w ramach budżetu środków europejskich, z wyłączeniem dochodów klasyfikowanych w paragrafie 205 zwiększono plan dochodów o kwotę 15.085,01 zł na realizację projektu " Wsparcie administracyjne gmin".</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756 Dochody od osób prawnych, od osób fizycznych i od innych jednostek nieposiadających osobowości prawnej oraz wydatki związane z ich poborem, w rozdziale 75616 Wpływy z podatku rolnego, podatku leśnego, podatku od spadków i darowizn, podatku od czynności cywilno- prawnych oraz podatków i opłat lokalnych od osób fizycznych, na paragrafie 0360 Wpływy z podatku od spadków i darowizn wprowadzono plan dochodów w wysokości 10.505,24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926 Kultura fizyczna, w rozdziale 92695 Pozostała działalność, na paragrafie 6290 Środki na dofinansowanie własnych inwestycji gmin, powiatów, samorzadów województw, pozyskane z innych źródeł wprowadzono plan dochodów na kwotę 79.252,00 zł jako dofinansowanie z Urzędu Marszałkowskiego do zadania inwestycyjnego pn.: "Budowa parku</w:t>
      </w:r>
      <w:r>
        <w:rPr>
          <w:rFonts w:ascii="Times New Roman" w:hAnsi="Times New Roman"/>
          <w:b w:val="0"/>
          <w:caps w:val="0"/>
          <w:sz w:val="22"/>
          <w:lang w:val="pl-PL" w:bidi="pl-PL" w:eastAsia="pl-PL"/>
        </w:rPr>
        <w:t>ru</w:t>
      </w:r>
      <w:r>
        <w:rPr>
          <w:rFonts w:ascii="Times New Roman" w:hAnsi="Times New Roman"/>
          <w:b w:val="0"/>
          <w:caps w:val="0"/>
          <w:sz w:val="22"/>
        </w:rPr>
        <w:t xml:space="preserve"> dla szkółki jeździeckiej oraz sportowych zaprzęgów konnych w m. Skrwilno" zgodnie  z projektem pn. : " Kujawsko- Pomorska Mała Infrastruktura Sportowa - Edycja 2025".</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Plan dochodów po zmianach wynosi: 47.280.072,12 zł.</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Zmian dokonano w wydatkach budżetowych:</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750 Administracja publiczna, w rozdziale 75020 Starostwa powiatowe, na paragrafie 2710 Dotacja celowa na pomoc finansową udzielaną między jednostkami samorządu terytorialnego na dofinansowanie własnych zadań bieżących wprowadzono plan wydatków na kwotę 3.000,00 zł jako pomoc finansową Powiatowi Rypińskiemu. W rozdziale 75023 Urzędy gmin ujęto całkowity koszt projektu " Wsparcie administracyjne gmin" na kwotę 17.747,07 zł. Na paragrafie 4010 Wynagrodzenia osobowe pracowników zmniejszono plan wydatków o kwotę 118.878,84 zł, aby pokryć koszty zwiazane z projektem " Kujawsko-Pomorska Mała Infrastruktura Sportowa - Edycja 2025 ".</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 xml:space="preserve">·W dziale 754 Bezpieczeństwo publiczne i ochrona przeciwpożarowa, w rozdziale 75412 Ochotnicze straże pożarne, na paragrafie  6050 Wydatki inwestycyjne jednostek budżetowych zwiększono plan wydatków o kwotę 10.000,00 zł z przeznaczeniem na  zwiększone koszty modernizacji samochodu strażackiego.</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855 Rodzina, w rozdziale 85504 Wspieranie rodziny na paragrafie 4010 Wynagrodzenia osobowe pracowników zwiększono plan wydatków o kwotę 10.000 zł, na paragrafie 4110 Składki na ubezpieczenia społeczne zwiększono plan wydatków o kwotę 2.390,19 zł, na paragrafie 4120 Składki na Fundusz Pracy oraz Fundusz Solidarnościowy zwiększono plan wydatków o kwotę 1.000,00 zł z przeznaczeniem na pokrycie kosztów wynagrodzeń dla asystentów rodziny.</w:t>
      </w:r>
    </w:p>
    <w:p>
      <w:pPr>
        <w:keepNext w:val="0"/>
        <w:keepLines w:val="0"/>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dziale 926 Kultura fizyczna, w rozdziale 92695 Pozostała działalność, na paragrafie 2710 Dotacja celowa na pomoc finansową udzielaną między jednostakmi samorządu terytorialnego na dofinansowanie własnych zadań bieżących wprowadzono plan wydatków na kwotę 2.500 zł jako wsparcie finansowe dla Gminy Szczutowo z przeznaczeniem na organizację VII Biegu Dwóch Jezior w Szczutowie". Na paragrafie 6050 Wydatki inwestycyjne jednostek budżetowych wprowadzono plan wydatków dotyczący realizacjii inwestycji pn.: "Budowa parku</w:t>
      </w:r>
      <w:r>
        <w:rPr>
          <w:rFonts w:ascii="Times New Roman" w:hAnsi="Times New Roman"/>
          <w:b w:val="0"/>
          <w:caps w:val="0"/>
          <w:sz w:val="22"/>
          <w:lang w:val="pl-PL" w:bidi="pl-PL" w:eastAsia="pl-PL"/>
        </w:rPr>
        <w:t>ru</w:t>
      </w:r>
      <w:r>
        <w:rPr>
          <w:rFonts w:ascii="Times New Roman" w:hAnsi="Times New Roman"/>
          <w:b w:val="0"/>
          <w:caps w:val="0"/>
          <w:sz w:val="22"/>
        </w:rPr>
        <w:t xml:space="preserve"> dla szkółki jeździeckiej oraz sportowych zaprzęgów konnych w miejscowości Skrwilno" zgodnie z projektem "Kujawsko-Pomorska Mała Infrastruktura Sportowa- Edycja 2025"</w:t>
      </w:r>
    </w:p>
    <w:p>
      <w:pPr>
        <w:keepNext w:val="1"/>
        <w:keepLines w:val="1"/>
        <w:spacing w:lineRule="auto" w:line="240" w:before="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Plan wydatków po zmianach wynosi: 53.571.169,69 zł</w:t>
      </w:r>
    </w:p>
    <w:p>
      <w:pPr>
        <w:keepNext w:val="1"/>
        <w:spacing w:before="0" w:after="0" w:beforeAutospacing="0" w:afterAutospacing="0"/>
        <w:rPr>
          <w:rFonts w:ascii="Times New Roman" w:hAnsi="Times New Roman"/>
          <w:b w:val="0"/>
          <w:i w:val="0"/>
          <w:caps w:val="0"/>
          <w:sz w:val="22"/>
          <w:u w:val="none"/>
          <w:vertAlign w:val="baseline"/>
        </w:rPr>
      </w:pPr>
      <w:r>
        <w:rPr>
          <w:b w:val="0"/>
          <w:i w:val="0"/>
          <w:color w:val="000000"/>
          <w:u w:val="none"/>
          <w:vertAlign w:val="baseline"/>
        </w:rPr>
        <w:t> </w:t>
      </w:r>
    </w:p>
    <w:tbl>
      <w:tblPr>
        <w:tblLayout w:type="fixed"/>
        <w:tblCellMar>
          <w:top w:w="0" w:type="dxa"/>
          <w:left w:w="0" w:type="dxa"/>
          <w:bottom w:w="0" w:type="dxa"/>
          <w:right w:w="0" w:type="dxa"/>
        </w:tblCellMar>
      </w:tblPr>
      <w:tblGrid/>
      <w:tr>
        <w:tblPrEx>
          <w:tblW w:w="5000" w:type="pct"/>
          <w:tblCellMar>
            <w:top w:w="0" w:type="dxa"/>
            <w:left w:w="0" w:type="dxa"/>
            <w:bottom w:w="0" w:type="dxa"/>
            <w:right w:w="0" w:type="dxa"/>
          </w:tblCellMar>
        </w:tblPrEx>
        <w:tc>
          <w:tcPr>
            <w:tcW w:w="4935" w:type="dxa"/>
            <w:noWrap w:val="0"/>
            <w:tcMar>
              <w:top w:w="0" w:type="dxa"/>
              <w:left w:w="0" w:type="dxa"/>
              <w:bottom w:w="0" w:type="dxa"/>
              <w:right w:w="0" w:type="dxa"/>
            </w:tcMar>
            <w:vAlign w:val="top"/>
            <w:hideMark/>
          </w:tcPr>
          <w:p>
            <w:pPr>
              <w:jc w:val="left"/>
              <w:rPr>
                <w:rFonts w:ascii="Times New Roman" w:hAnsi="Times New Roman"/>
                <w:b w:val="0"/>
                <w:i w:val="0"/>
                <w:color w:val="000000"/>
                <w:sz w:val="22"/>
              </w:rPr>
            </w:pPr>
          </w:p>
        </w:tc>
        <w:tc>
          <w:tcPr>
            <w:tcW w:w="4935" w:type="dxa"/>
            <w:noWrap w:val="0"/>
            <w:tcMar>
              <w:top w:w="0" w:type="dxa"/>
              <w:left w:w="0" w:type="dxa"/>
              <w:bottom w:w="0" w:type="dxa"/>
              <w:right w:w="0" w:type="dxa"/>
            </w:tcMar>
            <w:vAlign w:val="top"/>
            <w:hideMark/>
          </w:tcPr>
          <w:p>
            <w:pPr>
              <w:keepNext w:val="1"/>
              <w:keepLines w:val="1"/>
              <w:spacing w:before="560" w:after="560" w:beforeAutospacing="0" w:afterAutospacing="0"/>
              <w:ind w:firstLine="0" w:left="1134" w:right="1134"/>
              <w:jc w:val="center"/>
              <w:rPr>
                <w:rFonts w:ascii="Times New Roman" w:hAnsi="Times New Roman"/>
                <w:b w:val="1"/>
                <w:i w:val="0"/>
                <w:color w:val="000000"/>
                <w:sz w:val="22"/>
              </w:rPr>
            </w:pPr>
            <w:r>
              <w:rPr>
                <w:rFonts w:ascii="Times New Roman" w:hAnsi="Times New Roman"/>
                <w:b w:val="0"/>
                <w:i w:val="0"/>
                <w:color w:val="000000"/>
                <w:sz w:val="22"/>
              </w:rPr>
              <w:fldChar w:fldCharType="begin"/>
            </w:r>
            <w:r>
              <w:rPr>
                <w:rFonts w:ascii="Times New Roman" w:hAnsi="Times New Roman"/>
                <w:b w:val="0"/>
                <w:i w:val="0"/>
                <w:color w:val="000000"/>
                <w:sz w:val="22"/>
              </w:rPr>
              <w:instrText>MERGEFIELD SIGNATURE_0_0__FUNCTION \* MERGEFORMAT</w:instrText>
            </w:r>
            <w:r>
              <w:rPr>
                <w:rFonts w:ascii="Times New Roman" w:hAnsi="Times New Roman"/>
                <w:b w:val="0"/>
                <w:i w:val="0"/>
                <w:color w:val="000000"/>
                <w:sz w:val="22"/>
              </w:rPr>
              <w:fldChar w:fldCharType="separate"/>
            </w:r>
            <w:r>
              <w:rPr>
                <w:rFonts w:ascii="Times New Roman" w:hAnsi="Times New Roman"/>
                <w:b w:val="0"/>
                <w:i w:val="0"/>
                <w:color w:val="000000"/>
                <w:sz w:val="22"/>
              </w:rPr>
              <w:t>Przewodniczący Rady</w:t>
            </w:r>
            <w:r>
              <w:rPr>
                <w:rFonts w:ascii="Times New Roman" w:hAnsi="Times New Roman"/>
                <w:b w:val="0"/>
                <w:i w:val="0"/>
                <w:color w:val="000000"/>
                <w:sz w:val="22"/>
              </w:rPr>
              <w:fldChar w:fldCharType="end"/>
            </w:r>
            <w:r>
              <w:rPr>
                <w:rFonts w:ascii="Times New Roman" w:hAnsi="Times New Roman"/>
                <w:b w:val="0"/>
                <w:i w:val="0"/>
                <w:color w:val="000000"/>
                <w:sz w:val="22"/>
              </w:rPr>
              <w:br w:type="textWrapping"/>
              <w:br w:type="textWrapping"/>
              <w:br w:type="textWrapping"/>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SIGNATURE_0_0_FIRSTNAME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Jacek</w:t>
            </w:r>
            <w:r>
              <w:rPr>
                <w:rFonts w:ascii="Times New Roman" w:hAnsi="Times New Roman"/>
                <w:b w:val="1"/>
                <w:i w:val="0"/>
                <w:color w:val="000000"/>
                <w:sz w:val="22"/>
              </w:rPr>
              <w:fldChar w:fldCharType="end"/>
            </w:r>
            <w:r>
              <w:rPr>
                <w:rFonts w:ascii="Times New Roman" w:hAnsi="Times New Roman"/>
                <w:b w:val="1"/>
                <w:i w:val="0"/>
                <w:color w:val="000000"/>
                <w:sz w:val="22"/>
              </w:rPr>
              <w:t> </w:t>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SIGNATURE_0_0_LASTNAME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Tyburski</w:t>
            </w:r>
            <w:r>
              <w:rPr>
                <w:rFonts w:ascii="Times New Roman" w:hAnsi="Times New Roman"/>
                <w:b w:val="1"/>
                <w:i w:val="0"/>
                <w:color w:val="000000"/>
                <w:sz w:val="22"/>
              </w:rPr>
              <w:fldChar w:fldCharType="end"/>
            </w:r>
            <w:r>
              <w:rPr>
                <w:rFonts w:ascii="Times New Roman" w:hAnsi="Times New Roman"/>
                <w:b w:val="1"/>
                <w:i w:val="0"/>
                <w:color w:val="000000"/>
                <w:sz w:val="22"/>
              </w:rPr>
              <w:t> </w:t>
            </w:r>
          </w:p>
        </w:tc>
      </w:tr>
    </w:tbl>
    <w:p>
      <w:pPr>
        <w:keepNext w:val="1"/>
        <w:spacing w:before="0" w:after="0" w:beforeAutospacing="0" w:afterAutospacing="0"/>
        <w:rPr>
          <w:rFonts w:ascii="Times New Roman" w:hAnsi="Times New Roman"/>
          <w:b w:val="0"/>
          <w:i w:val="0"/>
          <w:caps w:val="0"/>
          <w:sz w:val="22"/>
          <w:u w:val="none"/>
          <w:vertAlign w:val="baseline"/>
        </w:rPr>
      </w:pPr>
    </w:p>
    <w:sectPr>
      <w:endnotePr>
        <w:numFmt w:val="decimal"/>
      </w:endnotePr>
      <w:type w:val="nextPage"/>
      <w:pgSz w:w="11906" w:h="16838" w:code="0"/>
      <w:pgMar w:left="1020" w:right="1020" w:top="992"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barbara.rygielska</dc:creator>
  <dcterms:created xsi:type="dcterms:W3CDTF">2025-06-06T10:51:05Z</dcterms:created>
  <cp:lastModifiedBy>Barbara Rygielska</cp:lastModifiedBy>
  <dcterms:modified xsi:type="dcterms:W3CDTF">2025-06-17T13:06:51Z</dcterms:modified>
  <cp:revision>15</cp:revision>
  <dc:subject>zmieniająca uchwałę w sprawie budżetu na 2025 r.</dc:subject>
  <dc:title>Uchwała z dnia 17 czerwca 2025 r.</dc:title>
</cp:coreProperties>
</file>