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AC62266" Type="http://schemas.openxmlformats.org/officeDocument/2006/relationships/officeDocument" Target="/word/document.xml" /><Relationship Id="coreR3AC6226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 dokonano w dochodach budżetowych: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400 Wytwarzanie i zaopatrywanie w energię elektryczną, gaz i wodę, w rozdziale 40002 Dostarczanie wody, na paragrafie 0950 Wpływy z tytułu kar i odszkodowań wynikających z umów wprowadzono plan dochodów na kwotę 23.344,00 zł. - Odszkodowanie od ubezpieczyciela za zalaną hydrofornię.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756 Dochody od osób prawnych, od osób fizycznych i od innych jednostek nieposiadających osobowości prawnej oraz wydatki związane z ich poborem, w rozdziale 75616 Wpływy z podatku rolnego, podatku leśnego, podatku od spadków i darowizn, podatku od czynności cywilno-prawnych oraz podatków i opłat lokalnych od osób fizycznych, na paragrafie 0360 Wpływy z podatku od spadków i darowizn zwiększono plan dochodów o kwotę 9.300,00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801 Oświata i wychowanie, w rozdziale 80104 Przedszkola, na paragrafie 2057 i 2059 Dotacja celowa w ramach programów finansowanych z udziałem środków europejskich oraz środków, o których mowa w art. 5 ust. 3 pkt. 5 lit. a i b ustawy, lub płatności w ramach budżetu środków europejskich, realizowanych przez jednostki samorządu terytorialnego zwiększono plan dochodów o kwotę 19.628,00 zł, zgodnie z Aneksem do projektu : "Dwujęzyczne przedszkolaki Kujaw i Pomorza".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900 Gospodarka komunalna i ochrona środowiska, w rozdziale 90026 Pozostałe działania związane z gospodarką odpadami, na paragrafie 0910 Wpływy z odsetek od nieterminowych wpłat z tytułu podatków i opłat wprowadzono plan dochodów na kwotę 2.474,00 zł z tytułu odsetek od tych wpłat, na paragrafie 0970 Wpływy z różnych dochodów wprowadzono plan dochodów na kwotę 16.835,00 zł. Są to wpłaty za złom stalowy. Na paragrafie 2710 Dotacja celowa otrzymana z tytułu pomocy finansowej udzielanej między jednostkami samorządu terytorialnego na dofinansowanie własnych zadań bieżących wprowadzono plan dochodów w wysokości 23.008,29 zł zgodnie z Umową DW25039/Oz-azb w ramach Regionalnego Programu Priorytetowego Azbest 2025.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Plan dochodów po zmianach wynosi: 47.564.003,18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 dokonano w wydatkach budżetowych: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600 Transport i łączność, w rozdziale 60016 Drogi publiczne gminne, na paragrafie 4210 Zakup materiałów i wyposażenia zmniejszono plan wydatków o kwotę 79.544,00 zł, na paragrafie 4270 Zakup usług remontowych zmniejszono plan wydatków o kwotę 100.000,00 zł, na paragrafie 6050 Wydatki inwestycyjne jednostek budżetowych zwiększono plan wydatków o kwotę 179.544,00 zł zgodnie z protokołami konieczności Nr 1 i 2 dotyczącymi: "Przebudowy ulicy Zacisznej, ulicy Ogrodowej i ulicy Nowy Rynek w miejscowości Skrwilno "- umowa nr 19/2024 oraz "Przebudowa ulicy Kościelnej i ulicy Parkowej w miejscowości Skrwilno" umowa Nr 20/2024 z dnia 4.07.2024 r.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754 Bezpieczeństwo publiczne i ochrona przeciwpożarowa, w rozdziale 75412 Ochotnicze straże pożarne, na paragrafie 4270 Zakup usług remontowych zmniejszono plan wydatków o kwotę 3.530,00 zł , a zwiększono plan wydatków na paragrafie 6050 Wydatki inwestycyjne jednostek budżetowych o kwotę 3.530,00 zł na montaż zbiornika PE do samochodu strażackiego przy OSP Przywitowo.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801 Oświata i wychowanie, w rozdziale 80104 Przedszkola na paragrafach ujęto zmiany zgodnie z pismem Urzędu Marszałkowskiego oraz dodatkową kwotę dotacji 19.628,00 zł na zakup materiałów edukacyjnych.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900 Gospodarka komunalna i ochrona środowiska, w rozdziale 90026 Pozostałe działania związane z gospodarką odpadami, na paragrafie 4300 Zakup usług pozostałych zwiększono plan wydatków o kwotę 32.868,99 zł z przeznaczeniem na transport i unieszkodliwienie wyrobów zawierająch azbest..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926 Kultura fizyczna, w rozdziale 92695 Pozostała działalność, na paragrafie 6050 Wydatki inwestycyjne jednostek budżetowych zwiększono plan wydatków o kwotę 41.092,30 zł na zadanie inwestycyjne o nazwie: "Budowa parkuru dla szkółki jeździeckiej oraz sportowych zaprzęgów konnych w miejscowości Skrwilno".</w:t>
      </w:r>
    </w:p>
    <w:p>
      <w:pPr>
        <w:keepNext w:val="1"/>
        <w:keepLines w:val="1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Plan wydatków po zmianach wynosi: 53.855.100,75 zł.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2025-07-22T09:28:38Z</dcterms:created>
  <cp:lastModifiedBy>Barbara Rygielska</cp:lastModifiedBy>
  <dcterms:modified xsi:type="dcterms:W3CDTF">2025-07-30T10:27:19Z</dcterms:modified>
  <cp:revision>21</cp:revision>
  <dc:subject>zmieniająca uchwałę w sprawie budżetu na 2025 r.</dc:subject>
  <dc:title>Uchwała z dnia 30 lipca 2025 r.</dc:title>
</cp:coreProperties>
</file>