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4C5F367" Type="http://schemas.openxmlformats.org/officeDocument/2006/relationships/officeDocument" Target="/word/document.xml" /><Relationship Id="coreR24C5F36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2"/>
        </w:rPr>
      </w:pPr>
    </w:p>
    <w:p>
      <w:pPr>
        <w:keepNext w:val="1"/>
        <w:widowControl w:val="1"/>
        <w:shd w:val="clear" w:fill="auto"/>
        <w:spacing w:lineRule="auto" w:line="240" w:before="0" w:after="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widowControl w:val="1"/>
        <w:shd w:val="clear" w:fill="auto"/>
        <w:spacing w:lineRule="auto" w:line="240" w:before="120" w:after="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Zgodnie z art. 230 ust. 1 ustawy o finansach publicznych - "Inicjatywa w sprawie sporządzania projektu uchwały w sprawie wieloletniej prognozy finansowej i jej zmiany należy wyłącznie do zarządu jednostki samorządu terytorialnego".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Wieloletnia Prognoza Finansowa obejmuje lata 2018 - 2031, ponieważ na te lata zaplanowana jest spłata wcześniej zaciągniętych kredytów i pożyczek, zgodnie z art. 227 ust. 2 ufp - "Prognozę kwoty długu, stanowiącą część wieloletniej prognozy finansowej, sporządza się na okres, na który zaciągnięto oraz planuje się zaciągnąć zobowiązanie". Zgodnie z Zarządzeniem Nr 103/2021 Wójta Gminy Skrwilno z dnia 21 grudnia 2021 r."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Do ustalenia relacji określonej w art. 243 ust. 1 ustawy o finansach publicznych przyjmuje się okres siedmiu lat, do wyliczenia średniej arytmetycznej relacji dochodów bieżących powiększonych o dochody ze sprzedaży majątku oraz pomniejszonych o wydatki bieżące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do dochodów bieżących budżetu". Dochody i wydatki w latach 2018 - 2024 ujęte są w wysokości wynikającej ze sprawozdań RB - 27S i RB - 28S.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 xml:space="preserve">Przepis art. 229 ufp wprowadza regułę zgodności danych w relacji pomiędzy WPF   a budżetem wyznaczając jednocześnie minimalny jej zakres obejmujący: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1. wynik budżetu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2. kwoty przychodów i rozchodów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3. dług j.s.t.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Prognoza dochodów i wydatków za 2025 r. jest zgodna z Uchwał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ą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Rady Gminy z dnia 30.07.2025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Przychody budżetu wynoszą 7.341.097,57 zł tzn. kwota planowanych do zaciągnięcia kredytów wynosi: 3.850.000,00 zł, aby zachować zasadę bilansowania wprowadzono kwotę 1.050.000,00 zł oraz na pokrycie planowanego deficytu budżetu zaplanowano kwotę 2.800.000,00 zł. Wprowadzono wolne środki z tytułu rozliczeń kredytów i pożyczek w tym środków na pokrycie deficytu w wysokości 3.491.097,57 zł. Rozchody czyli spłata kredytów długoterminowych na 2025 r. wynosi 1.050.000,00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Dochody bieżące są wyższe od wydatków bieżących o kwotę 1.133.243,57 zł co spełnia wymogi z art. 242 ustawy o finansach publicznych. Kwota ta zwiększa wydatki majątkowe. Spełnione są również wymogi określone w art. 243 (Ograniczenie możliwości zaciągania zobowiązań dłużnych) i 244 (Łączna kwota spłat i wykupów) ustawy o finansach publicznych. Wskaźnik zadłużenia ustalany indywidualnie dla każdej jednostki samorządowej, w większym stopniu przy ocenie jej gospodarki finansowej uwzględnia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jej sytuację finansową. Wymusza także perspektywiczne planowanie finansowe oraz racjonalizuje limity wydatków i wielkość deficytu.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wykazie przedsięwzięcia ujęto: Inwestycję pn. "Budowa i przebudowa drogi gminnej nr 120412 C Skudzawy - Skrwilno Etap 2 - od km 0+000 do km 3+161,05 na łączną wartość 5.155.306,87 zł. Jest to inwestycja dwuletnia realizowana w latach 2024 i 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2026 r. w Przedsięwzięciach ujęto również inwestycję pn. "Budowa obiektu lekkoatletycznego w Skrwilnie wraz z niezbędną infrastrukturą" na kwotę 3.762.433,13 zł. Inwestycja będzie realizowana w 2026 r. i rozliczona w 2026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 2026 r. ujęto również zadanie inwestycyjne pn.: "Modernizacja ciepłowni lokalnych budynków użyteczności publicznej w Skrwilnie" na kwotę 4.249.176,42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Przedsięwzięciach ujęto również zabezpieczenie środków na trwałość Projektu "Infostrada Kujaw i Pomorza 2.0". sfinansowanego ze środków Regionalnego Programu Operacyjnego Województwa Kujawsko-Pomorskiego na lata 2014 - 2020 oraz ze środków budżetu Województwa Kujawsko - Pomorskiego i Partnerów Projektu.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Pozostałe inwestycje są jednoroczne i są ujęte w budżecie gminy.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trike w:val="0"/>
                <w:color w:val="auto"/>
                <w:sz w:val="22"/>
                <w:u w:val="none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trike w:val="0"/>
                <w:color w:val="auto"/>
                <w:sz w:val="22"/>
                <w:u w:val="none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2025-07-22T09:43:06Z</dcterms:created>
  <cp:lastModifiedBy>Barbara Rygielska</cp:lastModifiedBy>
  <dcterms:modified xsi:type="dcterms:W3CDTF">2025-07-30T10:40:39Z</dcterms:modified>
  <cp:revision>13</cp:revision>
  <dc:subject>zmieniająca uchwałę w sprawie Wieloletniej Prognozy Finansowej Gminy Skrwilno na lata 2025 - 2031</dc:subject>
  <dc:title>Uchwała z dnia 30 lipca 2025 r.</dc:title>
</cp:coreProperties>
</file>