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E4511DF" Type="http://schemas.openxmlformats.org/officeDocument/2006/relationships/officeDocument" Target="/word/document.xml" /><Relationship Id="coreR1E4511D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 Na podstawie art. 18 ust. 2 pkt 9 lit.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g</w:t>
      </w:r>
      <w:r>
        <w:rPr>
          <w:rFonts w:ascii="Times New Roman" w:hAnsi="Times New Roman"/>
          <w:b w:val="0"/>
          <w:caps w:val="0"/>
          <w:sz w:val="22"/>
        </w:rPr>
        <w:t xml:space="preserve"> ustawy z dnia 8 marca 1990 r. o samorządzie gminnym do wyłącznej właściwości rady gminy należy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określanie zasad wnoszenia, cofania i zbywania udziałów i akcji.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9 ust. 1 ustawy z dnia 20 grudnia 1996 r. o gospodarce komunalnej jednostki samorządu terytorialnego mogą tworzyć spółki z ograniczoną odpowiedzialnością lub spółki akcyjne, a także mogą przystępować do takich spółek.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Kujawsko-Pomorski Transport Samochodowy Spółka Akcyjna z siedzibą we Włocławku złożyła Gminie Skrwilno ofertę objęcia akcji w trybie subskrypcji prywatnej 1.000.000 (słownie: jeden milion) sztuk akcji Spółki, które będą akcjami nowej emisji serii D o numerach od 34.000.001 do 35.000.000 o wartości nominalnej 0,01 zł (słownie: jeden grosz) każda. Oferowane przez Spółkę do objęcia akcje nowej emisji serii D będą akcjami zwykłymi imiennymi, zostaną objęte przez Gminę Skrwilno po cenie emisyjnej w wysokości 0,01 zł (słownie: jeden grosz) za każdą akcję, zostaną pokryte przez Gminę Skrwilno w całości wkładem pieniężnym w wysokości 10.000,00 (słownie: dziesięć tysięcy) złotych.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Wójt może wnieść wkład, aport lub dopłaty do kapitału zakładowego Spółki, bądź umorzyć udziały lub akcje w spółce dopiero po uzyskaniu zgody Rady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ww. uchwały stało się zasadne.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wymagała zabezpieczenia środków finansowych w budżecie Gminy Skrwilno w kwocie 10.000,00 zł na pokrycie wkładu pieniężnego do spółki Kujawsko-Pomorski Transport Samochodowy S.A. z siedzibą we Włocławku w zamian za objęcie akcji.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nie wymagała uzyskania stosownych opinii i uzgodnień.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barbara.rygielska</dc:creator>
  <dcterms:created xsi:type="dcterms:W3CDTF">2025-09-25T12:57:08Z</dcterms:created>
  <cp:lastModifiedBy>Barbara Rygielska</cp:lastModifiedBy>
  <dcterms:modified xsi:type="dcterms:W3CDTF">2025-09-29T11:29:36Z</dcterms:modified>
  <cp:revision>8</cp:revision>
  <dc:subject>w sprawie wyrażenia zgody na objęcie akcji w podwyższonym kapitale zakładowym</dc:subject>
  <dc:title>Uchwała nr  XVIII/83/25 z dnia 29 września 2025 r.</dc:title>
</cp:coreProperties>
</file>