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CFB6E5" Type="http://schemas.openxmlformats.org/officeDocument/2006/relationships/officeDocument" Target="/word/document.xml" /><Relationship Id="coreR55CFB6E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konieczność zaktualizowania danych podjęcie nowej uchwały w sprawie opłaty targowej na terenie gminy Skrwilno jest zasadne.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2023-09-20T11:28:46Z</dcterms:created>
  <cp:lastModifiedBy>Barbara Góralczyk</cp:lastModifiedBy>
  <dcterms:modified xsi:type="dcterms:W3CDTF">2023-09-22T11:25:08Z</dcterms:modified>
  <cp:revision>9</cp:revision>
  <dc:subject>w sprawie opłaty targowej</dc:subject>
  <dc:title>Uchwała Nr XLIX/323/23 z dnia 22 września 2023 r.</dc:title>
</cp:coreProperties>
</file>