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AAC452D" Type="http://schemas.openxmlformats.org/officeDocument/2006/relationships/officeDocument" Target="/word/document.xml" /><Relationship Id="coreR3AAC452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przepisami art. 61 ust. 2 ustawy z dnia 13 września 1996 roku o utrzymaniu czystości i porządku w gminach (Dz. U. z 2025 r. poz. 733) Rada Gminy, w drodze uchwały, może zarządzić pobór opłat za gospodarowanie odpadami komunalnymi w drodze inkasa oraz wyznaczyć inkasentów i określić wysokość wynagrodzenia za inkaso.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 przedmiocie sprawy zachodzi konieczność zaktualizowania imiennego powołania sołtysa Sołectwa Kotowy na inkasenta podatków i opłat lokalnych, w związku z wyborami uzupełniającymi.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Jacek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Tyburski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2026-02-12T12:40:03Z</dcterms:created>
  <cp:lastModifiedBy>Aleksandra Rucińska</cp:lastModifiedBy>
  <dcterms:modified xsi:type="dcterms:W3CDTF">2026-02-12T12:13:47Z</dcterms:modified>
  <cp:revision>3</cp:revision>
  <dc:subject>zmieniająca uchwałę w sprawie ustalenia inkasentów oraz określenia wysokości wynagrodzenia za_x000a_inkaso opłaty za gospodarowanie odpadami komunalnymi</dc:subject>
  <dc:title>Uchwała nr  XXII/100/26 z dnia 12 lutego 2026 r.</dc:title>
</cp:coreProperties>
</file>