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85B624C" Type="http://schemas.openxmlformats.org/officeDocument/2006/relationships/officeDocument" Target="/word/document.xml" /><Relationship Id="coreR85B624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nr 3 do uchwały nr XXII/101/26</w:t>
        <w:br w:type="textWrapping"/>
        <w:t>Rady Gminy Skrwilno</w:t>
        <w:br w:type="textWrapping"/>
        <w:t>z dnia 12 lutego 2026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Plan pracy Komisji Oświaty, Kultury i Spraw Obywatelskich na rok 2026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Lp.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Termin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Tematyka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styczeń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1. Podsumowanie działalności komisji w 2025 r. </w:t>
            </w:r>
          </w:p>
          <w:p>
            <w:pPr>
              <w:jc w:val="left"/>
            </w:pPr>
            <w:r>
              <w:t>2. Opracowanie planu pracy komisji na 2026 r.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marzec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Analiza sprawozdania z wykonania budżetu gminy za 2025 r.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maj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Analiza wydatków poniesionych przez gminę na realizację zadań z zakresu sportu.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sierpień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Ocena przygotowania placówek oświatowych do rozpoczęcia roku szkolnego.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październik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Zapoznanie się z Informacją o realizacji zadań oświatowych w gminie za rok szkolny 2025/2026.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listopad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Zaopiniowanie projektu budżetu gminy na 2027 r.</w:t>
            </w:r>
          </w:p>
        </w:tc>
      </w:tr>
    </w:tbl>
    <w:p>
      <w:pPr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2026-02-11T13:49:40Z</dcterms:created>
  <cp:lastModifiedBy>Aleksandra Rucińska</cp:lastModifiedBy>
  <dcterms:modified xsi:type="dcterms:W3CDTF">2026-02-12T12:16:01Z</dcterms:modified>
  <cp:revision>5</cp:revision>
  <dc:subject>w sprawie zatwierdzenia planów pracy stałych komisji rady</dc:subject>
  <dc:title>Uchwała</dc:title>
</cp:coreProperties>
</file>