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5754E6A" Type="http://schemas.openxmlformats.org/officeDocument/2006/relationships/officeDocument" Target="/word/document.xml" /><Relationship Id="coreR65754E6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Artykuł 50 ust. 6 ustawy z dnia 12 marca 2004 r. o pomocy społecznej (Dz. U. z 2025 r. poz. 1214, 1302, z 2026 r. poz. 26) mówi, że rada gminy w drodze uchwały określa szczegółowe warunki przyznawania i odpłatności za usługi opiekuńcze i specjalistyczne usługi opiekuńcze, z wyłączeniem specjalistycznych usług opiekuńczych dla osób z zaburzeniami psychicznymi, oraz szczegółowe warunki częściowego lub całkowitego zwolnienia od opłat, jak również tryb ich pobierania.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z w:val="22"/>
          <w:vertAlign w:val="baseline"/>
        </w:rPr>
        <w:t xml:space="preserve">     Obowiązująca obecnie uchwała Nr XXVI/172/17 Rady Gminy Skrwilno z dnia 21 czerwca 2017r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.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szczegółowych warunków przyznawania i odpłatności za usługi opiekuńcze i specjalistyczne usługi opiekuńcze, z wyłączeniem specjalistycznych usług opiekuńczych dla osób z zaburzeniami psychicznymi oraz szczegółowych warunków częściowego lub całkowitego zwolnienia od opłat, jak również trybu ich pobierania nie spełnia wymogów formalnych w celu jej realizacji.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 przedłożonej uchwały zawiera kompleksowe i jasne dla świadczeniobiorców zasady odpłatności, wyliczenie i sposób pobierania opłat. Ma to bardzo duże znaczenie dla odbiorców uchwały, ponieważ są to przede wszystkim osoby starsze, przewlekle chore z niskimi dochodami.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przestawiono przesłanki uprawniające do ubiegania się o zwolnienie całkowite lub częściowe z ponoszenia opłat za wykonane usługi. Zostały one doprecyzowane w oparciu o doświadczenia wynikające ze stosowania dotychczas obowiązującej uchwały w związku z postępowaniami administracyjnymi w indywidualnych sprawach dotyczących przyznawania usług i zwalniania z ponoszenia za nie odpłatności.</w:t>
      </w:r>
    </w:p>
    <w:p>
      <w:pPr>
        <w:keepNext w:val="1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Przyjęcie niniejszej uchwały jest uzasadnione.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Jacek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Tyburski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2026-02-12T12:47:45Z</dcterms:created>
  <cp:lastModifiedBy>Aleksandra Rucińska</cp:lastModifiedBy>
  <dcterms:modified xsi:type="dcterms:W3CDTF">2026-02-12T12:18:02Z</dcterms:modified>
  <cp:revision>4</cp:revision>
  <dc:subject>w sprawie określenia szczegółowych warunków przyznawania i odpłatności za usługi opiekuńcze i specjalistyczne usługi opiekuńcze, z wyłączeniem specjalistycznych usług opiekuńczych dla osób_x000a_z zaburzeniami psychicznymi, oraz szczegółowych warunków częściowego lub całkowitego zwolnienia od opłat, jak również tryb ich pobierania</dc:subject>
  <dc:title>Uchwała nr  XXII/102/26 z dnia 12 lutego 2026 r.</dc:title>
</cp:coreProperties>
</file>