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C7C7951" Type="http://schemas.openxmlformats.org/officeDocument/2006/relationships/officeDocument" Target="/word/document.xml" /><Relationship Id="coreR4C7C795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Stosownie do treści z art. 18 ust.2 pkt.9 lit. a ustawy o samorządzie gminnym podejmowanie uchwał w sprawach majątkowych gminy, przekraczających zakres zwykłego zarządu, dotyczących: a)zasad nabywania, zbywania i obciążania nieruchomości oraz ich wydzierżawiania lub wynajmowania na czas oznaczony dłuższy niż 3 lata lub na czas nieoznaczony, o ile ustawy szczególne nie stanowią inaczej; uchwała rady gminy jest wymagana również w przypadku, gdy po umowie zawartej na czas oznaczony do 3 lat strony zawierają kolejne umowy, których przedmiotem jest ta sama nieruchomość; do czasu określenia zasad wójt może dokonywać tych czynności wyłącznie za zgodą rady gminy.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Ponadto, art. 37 ust 4 ww. ustawy stanowi: zawarcie umów użytkowania, najmu lub dzierżawy na czas oznaczony dłuższy niż 3 lata lub na czas nieoznaczony następuje w drodze przetargu. Wojewoda albo odpowiednia rada lub sejmik mogą wyrazić zgodę na odstąpienie od obowiązku przetargowego trybu zawarcia tych umów.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Wnioskiem złożonym w dniu 25.02.2026 r. pełnomocnik Pan Michał Ulikowski reprezentujący  Firmę Towerlink Poland sp. z o.o. z siedzibą w Warszawie przy ulicy  M. Kasprzaka 4, wystąpił  o przedłużenie umowy dzierżawy  z dnia 22.10.2021 roku, na kolejny okres 10 lat.  Na  przedmiotowej nieruchomości  zlokalizowana jest wieża telekomunikacyjna.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 uwagi na powyższe podjęcie uchwały jest zatem zasadne.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Wiceprzewodniczący Rady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Teresa Krystyna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Mucha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2026-04-16T13:12:47Z</dcterms:created>
  <cp:lastModifiedBy>Aleksandra Rucińska</cp:lastModifiedBy>
  <dcterms:modified xsi:type="dcterms:W3CDTF">2026-04-17T08:47:23Z</dcterms:modified>
  <cp:revision>5</cp:revision>
  <dc:subject>w sprawie wyrażenia zgody na zawarcie umowy najmu  nieruchomości gruntowej stanowiącej własność Gminy Skrwilno</dc:subject>
  <dc:title>Uchwała nr  XXIII/105/26 z dnia 17 kwietnia 2026 r.</dc:title>
</cp:coreProperties>
</file>