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376564" Type="http://schemas.openxmlformats.org/officeDocument/2006/relationships/officeDocument" Target="/word/document.xml" /><Relationship Id="coreR7037656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18 ust. 2 pkt. 15, art. 40 ust. 1 i art. 41 ust. ustawy z dnia 8 marca 1990 r. o samorządzie gminnym (Dz. U. z 2025 r. poz. 1153, 1436, z 2026 r. poz. 252) do wyłącznej właściwości rady gminy należy stanowienie w innych sprawach zastrzeżonych ustawami do kompetencji rady gminy. Na podstawie upoważnień ustawowych gminie przysługuje prawo stanowienia aktów prawa miejscowego obowiązujących na obszarze gminy. Akty prawa miejscowego ustanawia rada gminy w formie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Dotychczasowa wysokość ekwiwalentu pieniężnego dla członków ochotniczych straży pożarnych została uregulowana uchwałą Nr LIII/353/24 Rady Gminy Skrwilno z dnia 25 stycznia 2024 r. podjętą na podstawie art. 18 ust. 2 pkt 15 ustawy z dnia 8 marca 1990 r. o samorządzie gminnym oraz art. 15 ust. 1, 1a i 2 ustawy z dnia 17 grudnia 2021 r. o ochotniczych strażach pożarnych.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myśl art. 15 ust. 1 ustawy z dnia 17 grudnia 2021r. o ochotniczych strażach pożarnych (Dz. U. z 2025 r. poz. 244, 900, z 2026 r. poz. 180, 426) strażak ratownik OSP, który uczestniczył w działaniu ratowniczym, akcji ratowniczej, szkoleniu lub ćwiczeniu, otrzymuje, niezależnie od otrzymywanego wynagrodzenia, ekwiwalent pieniężny, natomiast ust. 1a stanowi, że ekwiwalent pieniężny otrzymują również kandydat na strażaka ratownika OSP, o którym mowa w art. 9 ust. 2 pkt 1 oraz strażak ratownik OSP, który brał udział w działaniach, o których mowa w art. 3 pkt 7 - stosownie do posiadanych przez gminę środków finansowych.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ww. ustawą wysokość ekwiwalentu pieniężnego ustala, właściwa rada gminy w drodze uchwały. Wysokość ekwiwalentu pieniężnego nie może przekraczać 1/175 przeciętnego wynagrodzenia miesięcznego brutto, ogłoszonego przez Prezesa Głównego Urzędu Statystycznego w Dzienniku Urzędowym Rzeczypospolitej Polskiej "Monitor Polski" na podstawie art. 20 pkt 2 ustawy z dnia 17 grudnia 1998 r. o emeryturach i rentach z Funduszu Ubezpieczeń Społecznych (Dz. U. z 2025 r. poz. 1749 ze zm.) przed dniem ustalenia ekwiwalentu pieniężnego. Ekwiwalent pieniężny nalicza się za każdą rozpoczętą godzinę liczoną od zgłoszenia wyjazdu z jednostki ochotniczej straży pożarnej lub gotowości do wyjazdu w celu realizowania zadań, o których mowa w art. 3 pkt 7, bez względu na liczbę wyjazdów w ciągu jednej godziny, a w przypadku kandydata na strażaka ratownika OSP - za każdą rozpoczętą godzinę szkolenia. Ekwiwalent pieniężny jest wypłacany z budżetu właściwej gminy.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uchwały jest w pełni uzasadnione.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Teresa Krystyna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Mucha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2026-04-16T13:37:38Z</dcterms:created>
  <cp:lastModifiedBy>Aleksandra Rucińska</cp:lastModifiedBy>
  <dcterms:modified xsi:type="dcterms:W3CDTF">2026-04-17T08:51:04Z</dcterms:modified>
  <cp:revision>4</cp:revision>
  <dc:subject>w sprawie ustalenia wysokości ekwiwalentu pieniężnego dla strażaków ratowników i kandydatów na strażaków ratowników Ochotniczej Straży Pożarnej z terenu Gminy Skrwilno</dc:subject>
  <dc:title>Uchwała nr  XXIII/108/26 z dnia 17 kwietnia 2026 r.</dc:title>
</cp:coreProperties>
</file>