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B61116" Type="http://schemas.openxmlformats.org/officeDocument/2006/relationships/officeDocument" Target="/word/document.xml" /><Relationship Id="coreR11B6111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art. 230 ust. 1 ustawy o finansach publicznych - "Inicjatywa w sprawie sporządzania projektu uchwały w sprawie wieloletniej prognozy finansowej i jej zmiany należy wyłącznie                   do zarządu jednostki samorządu terytorialnego".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Wieloletnia Prognoza Finansowa obejmuje lata 2019-2032, ponieważ na te lata zaplanowana jest spłata wcześniej zaciągniętych kredytów i pożyczek, zgodnie z art. 227 ust. 2 ufp -" Prognozę kwoty długu, stanowiącą cześć wieloletniej prognozy finansowej, sporządza się, na okres, na który zaciągnięto oraz planuje się zaciągnąć zobowiązanie". Zgodnie z Zarządzeniem Nr 103/2021 Wójta Gminy Skrwilno z dnia 21 grudnia 2021 r. " Do ustalenia realacji określonej w art. 243 ust. 1 ustawy o finansach publicznych przyjmuje się okres siedmiu lat, do wyliczenia średniej arytmetycznej relacji dochodów bieżących powiększonych o dochody ze sprzedaży majątku oraz pomniejszonych o wydatki bieżące do dochodów bieżących budżetu". Dochody i wydatki w latach 2019-2024 ujęte są w wysokości wynikającej ze sprawozdań RB- 27 S i RB- 28 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W 2025 r. ujęto plan za trzy kwartały zgodnie ze złożonym sprawozdaniem RB - 27S i Rb-28S.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Wykonanie za 2025 r. zgodne jest ze sprawozdaniami Rb - 27 S i Rb-28 S za 2025 r. Przepis art. 229 ufp wprowadza regułę zgodności danych w realizacji pomiędzy WPF a budżetem wyznaczając jednocześnie minimalny jej zakres obejmujący: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1. Wynik budżetu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2. Kwoty przychodów i rozchodów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3. Dług j.s.t.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 xml:space="preserve">Dochody i wydatki zaplanowane na 2026 r. są zgodne z Uchwałą  Rady Gminy z dnia 26 maja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Przychody budżetu tzn. kwota planowanych do zaciągnięcia kredytów wynosi: 2.159.950,00 zł, aby zachować zasadę bilansowania wprowadzono kwotę 1.159.950,00 zł. oraz na pokrycie planowanego deficytu zaplanowano kwotę 1.000.000,00 zł. Do budżetu wprowadzono wolne środki w wysokości 135.426,43 zł wyliczone na podstawie bilansu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 xml:space="preserve">W wykazie przedsięwzięć ujęto: inwestycję pn. "Budowa obiektu lekkoatletycznego w Skrwilnie wraz z niezbędną  infrastrukturą" na kwotę 3.679.335,90 zł. Inwestycja została ujęta w WPF w 2025 r., ponieważ w 2025 r. została podpisana umowa. Inwestycja będzie realizowana w 2026 r i rozliczona w 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2026 r. ujęto również zadanie inwestycyjne Pn.: "Modernizacja ciepłowni lokalnych budynków użyteczności publicznej w Skrwilnie na kwotę 4.329.340,30 zł, oraz Projekt: " Cyberbezpieczny samorząd" którego realizacja rozpoczęła się w 2025 r. i przesunęła na 2026 r. w wysokości: 337.038,00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W Przedsięwzięciach ujęto również zabezpieczenie środków na trwałość Projektu "Infostrada Kujaw i Pomorza 2.0" sfinansowanego ze środków Regionalnego Programu Operacyjnego Województwa Kujawsko-Pomorskiego na lata 2014-2020 ze środków budżetu Województwa Kujawsko - Pomorskiego i Partnerów Projektu.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Pozostałe inwestycje są jednoroczne i są ujęte w budżecie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2026-05-15T15:27:16Z</dcterms:created>
  <cp:lastModifiedBy>Aleksandra Rucińska</cp:lastModifiedBy>
  <dcterms:modified xsi:type="dcterms:W3CDTF">2026-05-26T12:16:29Z</dcterms:modified>
  <cp:revision>7</cp:revision>
  <dc:subject>zmieniająca uchwałę w sprawie Wieloletniej Prognozy Finansowej Gminy Skrwilno na lata 2026 - 2032</dc:subject>
  <dc:title>Uchwała nr  XXIV/113/26 z dnia 26 maja 2026 r.</dc:title>
</cp:coreProperties>
</file>