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2E7559" Type="http://schemas.openxmlformats.org/officeDocument/2006/relationships/officeDocument" Target="/word/document.xml" /><Relationship Id="coreR52E755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0" w:right="0"/>
        <w:jc w:val="both"/>
        <w:rPr>
          <w:rFonts w:ascii="Times New Roman" w:hAnsi="Times New Roman"/>
          <w:b w:val="0"/>
          <w:caps w:val="0"/>
          <w:sz w:val="22"/>
        </w:rPr>
      </w:pPr>
      <w:r>
        <w:rPr>
          <w:rFonts w:ascii="Times New Roman" w:hAnsi="Times New Roman"/>
          <w:b w:val="0"/>
          <w:caps w:val="0"/>
          <w:sz w:val="22"/>
        </w:rPr>
        <w:t>Przepisy ustawy z dnia 7 lipca 2023 r. o zmianie ustawy o planowaniu i zagospodarowaniu przestrzennym oraz niektórych innych ustaw (Dz. U. poz. 1688 ze zm.) nałożyły na organy gminy obwiązek sporządzenia planów ogólnych. Wejście w życie planu ogólnego skutkować będzie utratą mocy przez studium uwarunkowań i kierunków zagospodarowania przestrzennego gminy. Jeżeli Gmina nie uchwali stosownego aktu planowania przestrzennego we wskazanym przez Ustawodawcę terminie studium również utraci swoją moc. Nałożenie stosownych wymogów przez Ustawodawcę skutkowała koniecznością podjęcia stosownej uchwały inicjującej pracę nad planem ogólnym gminy, następnie przeprowadzeniem procedury planistycznej przez organ wykonawczy gminy co skutkuje przedłożeniem stosownego projektu planu ogólnego gminy do uchwalenia.</w:t>
      </w:r>
    </w:p>
    <w:p>
      <w:pPr>
        <w:keepNext w:val="1"/>
        <w:keepLines w:val="0"/>
        <w:spacing w:lineRule="auto" w:line="240" w:before="120" w:after="120" w:beforeAutospacing="0" w:afterAutospacing="0"/>
        <w:ind w:firstLine="227" w:left="0" w:right="0"/>
        <w:jc w:val="both"/>
        <w:rPr>
          <w:rFonts w:ascii="Times New Roman" w:hAnsi="Times New Roman"/>
          <w:b w:val="0"/>
          <w:caps w:val="0"/>
          <w:sz w:val="22"/>
        </w:rPr>
      </w:pPr>
      <w:r>
        <w:rPr>
          <w:rFonts w:ascii="Times New Roman" w:hAnsi="Times New Roman"/>
          <w:b w:val="0"/>
          <w:caps w:val="0"/>
          <w:sz w:val="22"/>
        </w:rPr>
        <w:t>Podjęcie stosownej uchwały należy zatem uznać za niezbędne nie tylko dla wypełnienia ustawowego obowiązku, ale także dla umożliwienia realizacji procesów inwestycyjnych na obszarze gminy.</w:t>
      </w:r>
    </w:p>
    <w:p>
      <w:pPr>
        <w:keepNext w:val="1"/>
        <w:spacing w:before="0" w:after="0" w:beforeAutospacing="0" w:afterAutospacing="0"/>
        <w:rPr>
          <w:rFonts w:ascii="Times New Roman" w:hAnsi="Times New Roman"/>
          <w:b w:val="0"/>
          <w:i w:val="0"/>
          <w:caps w:val="0"/>
          <w:sz w:val="22"/>
          <w:u w:val="none"/>
          <w:vertAlign w:val="baseline"/>
        </w:rPr>
      </w:pPr>
      <w:r>
        <w:rPr>
          <w:rFonts w:ascii="Times New Roman" w:hAnsi="Times New Roman"/>
          <w:b w:val="0"/>
          <w:caps w:val="0"/>
          <w:sz w:val="22"/>
        </w:rPr>
        <w:t>  </w:t>
      </w:r>
    </w:p>
    <w:tbl>
      <w:tblPr>
        <w:tblLayout w:type="fixed"/>
        <w:tblCellMar>
          <w:top w:w="0" w:type="dxa"/>
          <w:left w:w="0" w:type="dxa"/>
          <w:bottom w:w="0" w:type="dxa"/>
          <w:right w:w="0" w:type="dxa"/>
        </w:tblCellMar>
      </w:tblPr>
      <w:tblGrid/>
      <w:tr>
        <w:tblPrEx>
          <w:tblW w:w="5000" w:type="pct"/>
        </w:tblPrEx>
        <w:tc>
          <w:tcPr>
            <w:tcW w:w="4935" w:type="dxa"/>
            <w:noWrap w:val="0"/>
            <w:tcMar>
              <w:top w:w="0" w:type="dxa"/>
              <w:left w:w="0" w:type="dxa"/>
              <w:bottom w:w="0" w:type="dxa"/>
              <w:right w:w="0" w:type="dxa"/>
            </w:tcMar>
            <w:vAlign w:val="top"/>
            <w:hideMark/>
          </w:tcPr>
          <w:p>
            <w:pPr>
              <w:jc w:val="left"/>
              <w:rPr>
                <w:rFonts w:ascii="Times New Roman" w:hAnsi="Times New Roman"/>
                <w:b w:val="0"/>
                <w:i w:val="0"/>
                <w:color w:val="000000"/>
                <w:sz w:val="22"/>
              </w:rPr>
            </w:pPr>
          </w:p>
        </w:tc>
        <w:tc>
          <w:tcPr>
            <w:tcW w:w="4935" w:type="dxa"/>
            <w:noWrap w:val="0"/>
            <w:tcMar>
              <w:top w:w="0" w:type="dxa"/>
              <w:left w:w="0" w:type="dxa"/>
              <w:bottom w:w="0" w:type="dxa"/>
              <w:right w:w="0" w:type="dxa"/>
            </w:tcMar>
            <w:vAlign w:val="top"/>
            <w:hideMark/>
          </w:tcPr>
          <w:p>
            <w:pPr>
              <w:keepNext w:val="1"/>
              <w:keepLines w:val="1"/>
              <w:spacing w:before="560" w:after="560" w:beforeAutospacing="0" w:afterAutospacing="0"/>
              <w:ind w:firstLine="0" w:left="1134" w:right="1134"/>
              <w:jc w:val="center"/>
              <w:rPr>
                <w:rFonts w:ascii="Times New Roman" w:hAnsi="Times New Roman"/>
                <w:b w:val="1"/>
                <w:i w:val="0"/>
                <w:color w:val="000000"/>
                <w:sz w:val="22"/>
              </w:rPr>
            </w:pPr>
            <w:r>
              <w:rPr>
                <w:rFonts w:ascii="Times New Roman" w:hAnsi="Times New Roman"/>
                <w:b w:val="0"/>
                <w:i w:val="0"/>
                <w:color w:val="000000"/>
                <w:sz w:val="22"/>
              </w:rPr>
              <w:fldChar w:fldCharType="begin"/>
            </w:r>
            <w:r>
              <w:rPr>
                <w:rFonts w:ascii="Times New Roman" w:hAnsi="Times New Roman"/>
                <w:b w:val="0"/>
                <w:i w:val="0"/>
                <w:color w:val="000000"/>
                <w:sz w:val="22"/>
              </w:rPr>
              <w:instrText>MERGEFIELD SIGNATURE_0_0__FUNCTION \* MERGEFORMAT</w:instrText>
            </w:r>
            <w:r>
              <w:rPr>
                <w:rFonts w:ascii="Times New Roman" w:hAnsi="Times New Roman"/>
                <w:b w:val="0"/>
                <w:i w:val="0"/>
                <w:color w:val="000000"/>
                <w:sz w:val="22"/>
              </w:rPr>
              <w:fldChar w:fldCharType="separate"/>
            </w:r>
            <w:r>
              <w:rPr>
                <w:rFonts w:ascii="Times New Roman" w:hAnsi="Times New Roman"/>
                <w:b w:val="0"/>
                <w:i w:val="0"/>
                <w:color w:val="000000"/>
                <w:sz w:val="22"/>
              </w:rPr>
              <w:t>Przewodniczący Rady</w:t>
            </w:r>
            <w:r>
              <w:rPr>
                <w:rFonts w:ascii="Times New Roman" w:hAnsi="Times New Roman"/>
                <w:b w:val="0"/>
                <w:i w:val="0"/>
                <w:color w:val="000000"/>
                <w:sz w:val="22"/>
              </w:rPr>
              <w:fldChar w:fldCharType="end"/>
            </w:r>
            <w:r>
              <w:rPr>
                <w:rFonts w:ascii="Times New Roman" w:hAnsi="Times New Roman"/>
                <w:b w:val="0"/>
                <w:i w:val="0"/>
                <w:color w:val="000000"/>
                <w:sz w:val="22"/>
              </w:rPr>
              <w:br w:type="textWrapping"/>
              <w:br w:type="textWrapping"/>
              <w:br w:type="textWrapping"/>
            </w:r>
            <w:r>
              <w:rPr>
                <w:rFonts w:ascii="Times New Roman" w:hAnsi="Times New Roman"/>
                <w:b w:val="1"/>
                <w:i w:val="0"/>
                <w:color w:val="000000"/>
                <w:sz w:val="22"/>
              </w:rPr>
              <w:fldChar w:fldCharType="begin"/>
            </w:r>
            <w:r>
              <w:rPr>
                <w:rFonts w:ascii="Times New Roman" w:hAnsi="Times New Roman"/>
                <w:b w:val="1"/>
                <w:i w:val="0"/>
                <w:color w:val="000000"/>
                <w:sz w:val="22"/>
              </w:rPr>
              <w:instrText>MERGEFIELD SIGNATURE_0_0_FIRSTNAME \* MERGEFORMAT</w:instrText>
            </w:r>
            <w:r>
              <w:rPr>
                <w:rFonts w:ascii="Times New Roman" w:hAnsi="Times New Roman"/>
                <w:b w:val="1"/>
                <w:i w:val="0"/>
                <w:color w:val="000000"/>
                <w:sz w:val="22"/>
              </w:rPr>
              <w:fldChar w:fldCharType="separate"/>
            </w:r>
            <w:r>
              <w:rPr>
                <w:rFonts w:ascii="Times New Roman" w:hAnsi="Times New Roman"/>
                <w:b w:val="1"/>
                <w:i w:val="0"/>
                <w:color w:val="000000"/>
                <w:sz w:val="22"/>
              </w:rPr>
              <w:t>Jacek</w:t>
            </w:r>
            <w:r>
              <w:rPr>
                <w:rFonts w:ascii="Times New Roman" w:hAnsi="Times New Roman"/>
                <w:b w:val="1"/>
                <w:i w:val="0"/>
                <w:color w:val="000000"/>
                <w:sz w:val="22"/>
              </w:rPr>
              <w:fldChar w:fldCharType="end"/>
            </w:r>
            <w:r>
              <w:rPr>
                <w:rFonts w:ascii="Times New Roman" w:hAnsi="Times New Roman"/>
                <w:b w:val="1"/>
                <w:i w:val="0"/>
                <w:color w:val="000000"/>
                <w:sz w:val="22"/>
              </w:rPr>
              <w:t> </w:t>
            </w:r>
            <w:r>
              <w:rPr>
                <w:rFonts w:ascii="Times New Roman" w:hAnsi="Times New Roman"/>
                <w:b w:val="1"/>
                <w:i w:val="0"/>
                <w:color w:val="000000"/>
                <w:sz w:val="22"/>
              </w:rPr>
              <w:fldChar w:fldCharType="begin"/>
            </w:r>
            <w:r>
              <w:rPr>
                <w:rFonts w:ascii="Times New Roman" w:hAnsi="Times New Roman"/>
                <w:b w:val="1"/>
                <w:i w:val="0"/>
                <w:color w:val="000000"/>
                <w:sz w:val="22"/>
              </w:rPr>
              <w:instrText>MERGEFIELD SIGNATURE_0_0_LASTNAME \* MERGEFORMAT</w:instrText>
            </w:r>
            <w:r>
              <w:rPr>
                <w:rFonts w:ascii="Times New Roman" w:hAnsi="Times New Roman"/>
                <w:b w:val="1"/>
                <w:i w:val="0"/>
                <w:color w:val="000000"/>
                <w:sz w:val="22"/>
              </w:rPr>
              <w:fldChar w:fldCharType="separate"/>
            </w:r>
            <w:r>
              <w:rPr>
                <w:rFonts w:ascii="Times New Roman" w:hAnsi="Times New Roman"/>
                <w:b w:val="1"/>
                <w:i w:val="0"/>
                <w:color w:val="000000"/>
                <w:sz w:val="22"/>
              </w:rPr>
              <w:t>Tyburski</w:t>
            </w:r>
            <w:r>
              <w:rPr>
                <w:rFonts w:ascii="Times New Roman" w:hAnsi="Times New Roman"/>
                <w:b w:val="1"/>
                <w:i w:val="0"/>
                <w:color w:val="000000"/>
                <w:sz w:val="22"/>
              </w:rPr>
              <w:fldChar w:fldCharType="end"/>
            </w:r>
            <w:r>
              <w:rPr>
                <w:rFonts w:ascii="Times New Roman" w:hAnsi="Times New Roman"/>
                <w:b w:val="1"/>
                <w:i w:val="0"/>
                <w:color w:val="000000"/>
                <w:sz w:val="22"/>
              </w:rPr>
              <w:t> </w:t>
            </w:r>
          </w:p>
        </w:tc>
      </w:tr>
    </w:tbl>
    <w:p>
      <w:pPr>
        <w:keepNext w:val="1"/>
        <w:spacing w:before="0" w:after="0" w:beforeAutospacing="0" w:afterAutospacing="0"/>
        <w:rPr>
          <w:rFonts w:ascii="Times New Roman" w:hAnsi="Times New Roman"/>
          <w:b w:val="0"/>
          <w:i w:val="0"/>
          <w:caps w:val="0"/>
          <w:sz w:val="22"/>
          <w:u w:val="none"/>
          <w:vertAlign w:val="baseline"/>
        </w:rPr>
      </w:pPr>
    </w:p>
    <w:sectPr>
      <w:endnotePr>
        <w:numFmt w:val="decimal"/>
      </w:endnotePr>
      <w:type w:val="nextPage"/>
      <w:pgSz w:w="11906" w:h="16838" w:code="0"/>
      <w:pgMar w:left="1020" w:right="1020" w:top="1417"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aleksandra.rucinska</dc:creator>
  <dcterms:created xsi:type="dcterms:W3CDTF">2026-06-17T10:40:13Z</dcterms:created>
  <cp:lastModifiedBy>Aleksandra Rucińska</cp:lastModifiedBy>
  <dcterms:modified xsi:type="dcterms:W3CDTF">2026-06-19T08:39:37Z</dcterms:modified>
  <cp:revision>14</cp:revision>
  <dc:subject>w sprawie uchwalenia planu ogólnego gminy Skrwilno</dc:subject>
  <dc:title>Uchwała nr  XXV/115/26 z dnia 17 czerwca 2026 r.</dc:title>
</cp:coreProperties>
</file>