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56AB88C" Type="http://schemas.openxmlformats.org/officeDocument/2006/relationships/officeDocument" Target="/word/document.xml" /><Relationship Id="coreR256AB88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Opracowanie miejscowego planu zagospodarowania przestrzennego wynika z nowych potrzeb związanych z rozwojem miejscowości Okalewo, Gmina Skrwilno. Dokonana przez Wójta Gminy Skrwilno analiza, pozwoliła powziąć decyzję o zasadności opracowania miejscowego planu dla przedmiotowego obszaru. Ważąc na powyższe, korzystając ze swych ustawowych uprawnień recypowanych na gruncie ustawy o samorządzie gminnym oraz ustawy o planowaniu i zagospodarowaniu przestrzennym, po przedłożeniu przez Wójta Gminy pod rozwagę możliwości sporządzenia stosownego miejscowego planu zagospodarowania przestrzennego uznano, iż jest to zamierzenie zewsząd zasadne.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Powzięta uchwała stanowi zatem wyraz woli Rady Gminy Skrwilno względem kształtowania przestrzeni na terenie gminy. Powyższe wpisuje się w instytucję tzw. władztwa planistycznego gminy i jest przejawem racjonalnego gospodarowania przestrzenią gminy. Przyjąć zatem należy, że niniejsza uchwała czyni zadość zarówno oczekiwaniom społeczności lokalnej jak również obowiązującym przepisom prawnym.</w:t>
      </w: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both"/>
              <w:rPr>
                <w:rFonts w:ascii="Times New Roman" w:hAnsi="Times New Roman"/>
                <w:b w:val="0"/>
                <w:caps w:val="0"/>
                <w:sz w:val="22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SIGNATURE_0_1_FUNCTION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t>Przewodniczący Rady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 </w:t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SIGNATURE_0_1_FIRSTNAME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 xml:space="preserve">Jacek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SIGNATURE_0_1_LASTNAME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>Tyburski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both"/>
        <w:rPr>
          <w:rFonts w:ascii="Times New Roman" w:hAnsi="Times New Roman"/>
          <w:b w:val="0"/>
          <w:caps w:val="0"/>
          <w:sz w:val="22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2026-07-27T11:41:35Z</dcterms:created>
  <cp:lastModifiedBy>Barbara Rygielska</cp:lastModifiedBy>
  <dcterms:modified xsi:type="dcterms:W3CDTF">2026-08-06T06:05:46Z</dcterms:modified>
  <cp:revision>8</cp:revision>
  <dc:subject>w sprawie przystąpienia do sporządzenia miejscowego planu zagospodarowania przestrzennego dla działek położonych w miejscowości Okalewo, gmina Skrwilno</dc:subject>
  <dc:title>Uchwała nr  XXVI/117/26 z dnia 5 sierpnia 2026 r.</dc:title>
</cp:coreProperties>
</file>