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D3779A0" Type="http://schemas.openxmlformats.org/officeDocument/2006/relationships/officeDocument" Target="/word/document.xml" /><Relationship Id="coreR6D3779A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OBJAŚNIENIA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ind w:firstLine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Zgodnie z art. 230 ust. 1 ustawy o finansach publicznych - "Inicjatywa w sprawie sporządzania projektu uchwały w sprawie wieloletniej prognozy finansowej i jej zmiany należy wyłącznie do zarządu jednostki samorządu terytorialnego".</w:t>
      </w:r>
    </w:p>
    <w:p>
      <w:pPr>
        <w:pStyle w:val="P1"/>
        <w:jc w:val="both"/>
        <w:rPr>
          <w:rFonts w:ascii="Times New Roman" w:hAnsi="Times New Roman"/>
          <w:sz w:val="22"/>
        </w:rPr>
      </w:pP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Wieloletnia Prognoza Finansowa obejmuje lata 2019-2032, ponieważ na te lata zaplanowana jest spłata wcześniej zaciągniętych kredytów i pożyczek, zgodnie z art. 227 ust. 2 ufp -" Prognozę kwoty długu, stanowiącą cześć wieloletniej prognozy finansowej, sporządza się, na okres, na który zaciągnięto oraz planuje się zaciągnąć zobowiązanie". Zgodnie z Zarządzeniem Nr 103/2021 Wójta Gminy Skrwilno z dnia 21 grudnia 2021 r. " Do ustalenia realacji określonej w art. 243 ust. 1 ustawy o finansach publicznych przyjmuje się okres siedmiu lat, do wyliczenia średniej arytmetycznej relacji dochodów bieżących powiększonych o dochody ze sprzedaży majątku oraz pomniejszonych o wydatki bieżące do dochodów bieżących budżetu". Dochody i wydatki w latach 2019-2024 ujęte są w wysokości wynikającej ze sprawozdań RB- 27 S i RB- 28 S.</w:t>
      </w:r>
    </w:p>
    <w:p>
      <w:pPr>
        <w:pStyle w:val="P1"/>
        <w:jc w:val="both"/>
        <w:rPr>
          <w:rFonts w:ascii="Times New Roman" w:hAnsi="Times New Roman"/>
          <w:sz w:val="22"/>
        </w:rPr>
      </w:pP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W 2025 r. ujęto plan za trzy kwartały zgodnie ze złożonym sprawozdaniem RB - 27S i Rb-28S.</w:t>
      </w: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Wykonanie za 2025 r. zgodne jest ze sprawozdaniami Rb - 27 S i Rb-28 S za 2025 r. Przepis art. 229 ufp wprowadza regułę zgodności danych w realizacji pomiędzy WPF a budżetem wyznaczając jednocześnie minimalny jej zakres obejmujący:</w:t>
      </w: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Wynik budżetu</w:t>
      </w: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Kwoty przychodów i rozchodów</w:t>
      </w: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 Dług j.s.t. </w:t>
      </w:r>
    </w:p>
    <w:p>
      <w:pPr>
        <w:pStyle w:val="P1"/>
        <w:jc w:val="both"/>
        <w:rPr>
          <w:rFonts w:ascii="Times New Roman" w:hAnsi="Times New Roman"/>
          <w:sz w:val="22"/>
        </w:rPr>
      </w:pP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 Dochody i wydatki zaplanowane na 2026 r. są zgodne z Uchwałą  Rady Gminy z dnia  5 sierpnia 2026 r.</w:t>
      </w:r>
    </w:p>
    <w:p>
      <w:pPr>
        <w:pStyle w:val="P1"/>
        <w:jc w:val="both"/>
        <w:rPr>
          <w:rFonts w:ascii="Times New Roman" w:hAnsi="Times New Roman"/>
          <w:sz w:val="22"/>
        </w:rPr>
      </w:pP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Przychody budżetu tzn. kwota planowanych do zaciągnięcia kredytów wynosi: 2.159.950,00 zł, aby zachować zasadę bilansowania wprowadzono kwotę 1.159.950,00 zł. oraz na pokrycie planowanego deficytu zaplanowano kwotę 1.000.000,00 zł. Do budżetu wprowadzono wolne środki w wysokości 135.426,43 zł wyliczone na podstawie bilansu z wykonania budżetu.</w:t>
      </w:r>
    </w:p>
    <w:p>
      <w:pPr>
        <w:pStyle w:val="P1"/>
        <w:jc w:val="both"/>
        <w:rPr>
          <w:rFonts w:ascii="Times New Roman" w:hAnsi="Times New Roman"/>
          <w:sz w:val="22"/>
        </w:rPr>
      </w:pP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W wykazie przedsięwzięć ujęto: inwestycję pn. "Budowa obiektu lekkoatletycznego w Skrwilnie wraz z niezbędną  infrastrukturą" na kwotę 3.679.335,90 zł. Inwestycja została ujęta w WPF w 2025 r., ponieważ w 2025 r. została podpisana umowa. Inwestycja będzie realizowana w 2026 r i rozliczona w 2026 r. </w:t>
      </w: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 2026 r. ujęto również zadanie inwestycyjne Pn.: "Modernizacja ciepłowni lokalnych budynków użyteczności publicznej w Skrwilnie na kwotę 4.329.340,30 zł, oraz Projekt: "Cyberbezpieczny samorząd" którego realizacja rozpoczęła się w 2025 r. i przesunęła na 2026 r. w wysokości: 337.038,00 zł.</w:t>
      </w: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Do wykazu przedsięwzięć wprowadzono nową inwestycję, która będzie realizowana w 2027 r. Jest to projekt pn.: " Zagospodarowanie i wyposażenie przestrzeni publicznej na cele społeczne i rekreacyjne w miejscowości Skrwilno" na kwotę 2.319.716,81 zł.</w:t>
      </w:r>
    </w:p>
    <w:p>
      <w:pPr>
        <w:pStyle w:val="P1"/>
        <w:jc w:val="both"/>
        <w:rPr>
          <w:rFonts w:ascii="Times New Roman" w:hAnsi="Times New Roman"/>
          <w:sz w:val="22"/>
        </w:rPr>
      </w:pP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W Przedsięwzięciach ujęto również zabezpieczenie środków na trwałość Projektu "Infostrada Kujaw i Pomorza 2.0" sfinansowanego ze środków Regionalnego Programu Operacyjnego Województwa Kujawsko-Pomorskiego na lata 2014-2020 ze środków budżetu Województwa Kujawsko - Pomorskiego i Partnerów Projektu.</w:t>
      </w:r>
    </w:p>
    <w:p>
      <w:pPr>
        <w:pStyle w:val="P1"/>
        <w:jc w:val="both"/>
        <w:rPr>
          <w:rFonts w:ascii="Times New Roman" w:hAnsi="Times New Roman"/>
          <w:sz w:val="22"/>
        </w:rPr>
      </w:pPr>
    </w:p>
    <w:p>
      <w:pPr>
        <w:pStyle w:val="P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Pozostałe inwestycje są jednoroczne i są ujęte w budżecie gminy.</w:t>
      </w:r>
    </w:p>
    <w:p>
      <w:pPr>
        <w:pStyle w:val="P1"/>
        <w:jc w:val="both"/>
      </w:pPr>
    </w:p>
    <w:sectPr>
      <w:type w:val="nextPage"/>
      <w:pgSz w:w="11906" w:h="16838" w:code="0"/>
      <w:pgMar w:left="1417" w:right="1417" w:top="1417" w:bottom="1417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1">
      <w:start w:val="1"/>
      <w:numFmt w:val="decimal"/>
      <w:suff w:val="tab"/>
      <w:lvlText w:val="%2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2">
      <w:start w:val="1"/>
      <w:numFmt w:val="decimal"/>
      <w:suff w:val="tab"/>
      <w:lvlText w:val="%3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3">
      <w:start w:val="1"/>
      <w:numFmt w:val="decimal"/>
      <w:suff w:val="tab"/>
      <w:lvlText w:val="%4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4">
      <w:start w:val="1"/>
      <w:numFmt w:val="decimal"/>
      <w:suff w:val="tab"/>
      <w:lvlText w:val="%5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5">
      <w:start w:val="1"/>
      <w:numFmt w:val="decimal"/>
      <w:suff w:val="tab"/>
      <w:lvlText w:val="%6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6">
      <w:start w:val="1"/>
      <w:numFmt w:val="decimal"/>
      <w:suff w:val="tab"/>
      <w:lvlText w:val="%7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7">
      <w:start w:val="1"/>
      <w:numFmt w:val="decimal"/>
      <w:suff w:val="tab"/>
      <w:lvlText w:val="%8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  <w:lvl w:ilvl="8">
      <w:start w:val="1"/>
      <w:numFmt w:val="decimal"/>
      <w:suff w:val="tab"/>
      <w:lvlText w:val="%9."/>
      <w:lvlJc w:val="left"/>
      <w:pPr/>
      <w:rPr>
        <w:rFonts w:ascii="Times New Roman" w:hAnsi="Times New Roman"/>
        <w:b w:val="0"/>
        <w:i w:val="0"/>
        <w:strike w:val="0"/>
        <w:color w:val="auto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000000"/>
        <w:sz w:val="22"/>
        <w:u w:val="none"/>
        <w:shd w:val="clear" w:color="auto" w:fill="FFFFFF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Times New Roman" w:hAnsi="Times New Roman"/>
      <w:b w:val="0"/>
      <w:color w:val="000000"/>
      <w:sz w:val="22"/>
    </w:rPr>
  </w:style>
  <w:style w:type="paragraph" w:styleId="P1">
    <w:name w:val="[Normal]"/>
    <w:pPr>
      <w:widowControl w:val="0"/>
    </w:pPr>
    <w:rPr>
      <w:rFonts w:ascii="Arial" w:hAnsi="Arial"/>
      <w:color w:val="auto"/>
      <w:sz w:val="24"/>
      <w:shd w:val="clear" w:color="auto" w:fil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Anna Ziomek</dc:creator>
  <dcterms:created xsi:type="dcterms:W3CDTF">2023-11-09T08:30:21Z</dcterms:created>
  <cp:lastModifiedBy>Barbara Rygielska</cp:lastModifiedBy>
  <dcterms:modified xsi:type="dcterms:W3CDTF">2026-08-06T06:35:43Z</dcterms:modified>
  <cp:revision>116</cp:revision>
</cp:coreProperties>
</file>