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0EB9D10" Type="http://schemas.openxmlformats.org/officeDocument/2006/relationships/officeDocument" Target="/word/document.xml" /><Relationship Id="coreR20EB9D1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keepNext w:val="0"/>
        <w:keepLines w:val="0"/>
        <w:ind w:firstLine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Dnia 18 lipca 2019 r. weszła w życie ustawa z dnia 16 maja 2019 r. o Funduszu rozwoju przewozów autobusowych o charakterze użyteczności publicznej. Zgodnie z art. 22 ust. 2 tejże ustawy zawarcie umowy o świadczenie usług w zakresie publicznego transportu zbiorowego, wymaga uzyskania zgody organu stanowiącego właściwego organizatora.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ab/>
        <w:t>W celu zapewnienia funkcjonowania publicznego transportu zbiorowego na terenie gminy, w dniu 4 grudnia 2025 roku, Gmina Skrwilno w ramach naboru nr 1/2026/FRPA wystąpiła do Wojewody Kujawsko-Pomorskiego z wnioskiem o objęcie dopłatą w ramach Funduszu rozwoju przewozów autobusowych o charakterze użyteczności publicznej w latach 2026-2028.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ab/>
        <w:t>Mając powyższe na uwadze Gmina Skrwilno jako organizator publicznego transportu zbiorowego przed podpisaniem umowy z operatorem opartej o ustawę z dnia 16 grudnia 2010 r. o publicznym transporcie drogowy, musi uzyskać zgodę organu stanowiącego na zawarcie umowy o świadczenie usług w zakresie publicznego transportu zbiorowego na liniach komunikacyjnych o charakterze użyteczności publicznej, w myśl art. 22 ust. 2 ustawy z dnia 16 maja 2019 r. o Funduszu rozwoju przewozów autobusowych o charakterze użyteczności publicznej. Ponadto warunkiem uzyskania dopłaty jest zapewnienie przez organizatora udziału środków własnych w wysokości nie mniejszej niż 10% kwoty deficytu dla pojedynczej linii komunikacyjnej.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ab/>
        <w:t>W związku z powyższym podjęcie ww. uchwały jest uzasadnione.</w:t>
      </w:r>
    </w:p>
    <w:tbl>
      <w:tblPr>
        <w:tblStyle w:val="T1"/>
        <w:tblW w:w="5000" w:type="pct"/>
        <w:tblBorders>
          <w:top w:val="none" w:sz="4" w:space="0" w:shadow="0" w:frame="0" w:color="000000"/>
          <w:left w:val="none" w:sz="4" w:space="0" w:shadow="0" w:frame="0" w:color="000000"/>
          <w:bottom w:val="none" w:sz="4" w:space="0" w:shadow="0" w:frame="0" w:color="000000"/>
          <w:right w:val="none" w:sz="4" w:space="0" w:shadow="0" w:frame="0" w:color="000000"/>
        </w:tblBorders>
        <w:tblLook w:val="04A0"/>
      </w:tblPr>
      <w:tblGrid/>
      <w:tr>
        <w:tc>
          <w:tcPr>
            <w:tcW w:w="2500" w:type="pct"/>
            <w:tcBorders>
              <w:right w:val="none" w:sz="4" w:space="0" w:shadow="0" w:frame="0" w:color="000000"/>
            </w:tcBorders>
            <w:vAlign w:val="top"/>
          </w:tcPr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both"/>
              <w:rPr>
                <w:rFonts w:ascii="Times New Roman" w:hAnsi="Times New Roman"/>
                <w:b w:val="0"/>
                <w:caps w:val="0"/>
                <w:sz w:val="22"/>
              </w:rPr>
            </w:pPr>
          </w:p>
        </w:tc>
        <w:tc>
          <w:tcPr>
            <w:tcW w:w="2500" w:type="pct"/>
            <w:tcBorders>
              <w:left w:val="none" w:sz="4" w:space="0" w:shadow="0" w:frame="0" w:color="000000"/>
            </w:tcBorders>
            <w:vAlign w:val="top"/>
          </w:tcPr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SIGNATURE_0_1_FUNCTION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t>Przewodniczący Rady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</w:p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t xml:space="preserve"> </w:t>
            </w:r>
          </w:p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SIGNATURE_0_1_FIRSTNAME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1"/>
                <w:caps w:val="0"/>
                <w:sz w:val="22"/>
              </w:rPr>
              <w:t xml:space="preserve">Jacek 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SIGNATURE_0_1_LASTNAME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1"/>
                <w:caps w:val="0"/>
                <w:sz w:val="22"/>
              </w:rPr>
              <w:t>Tyburski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</w:p>
        </w:tc>
      </w:tr>
    </w:tbl>
    <w:p>
      <w:pPr>
        <w:keepNext w:val="0"/>
        <w:keepLines w:val="0"/>
        <w:spacing w:lineRule="auto" w:line="240" w:before="120" w:after="120" w:beforeAutospacing="0" w:afterAutospacing="0"/>
        <w:ind w:firstLine="0" w:left="0" w:right="0"/>
        <w:jc w:val="both"/>
        <w:rPr>
          <w:rFonts w:ascii="Times New Roman" w:hAnsi="Times New Roman"/>
          <w:b w:val="0"/>
          <w:caps w:val="0"/>
          <w:sz w:val="22"/>
        </w:rPr>
      </w:pPr>
    </w:p>
    <w:sectPr>
      <w:endnotePr>
        <w:numFmt w:val="decimal"/>
      </w:endnotePr>
      <w:type w:val="nextPage"/>
      <w:pgSz w:w="11906" w:h="16838" w:code="0"/>
      <w:pgMar w:left="1020" w:right="1020" w:top="1417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barbara.rygielska</dc:creator>
  <dcterms:created xsi:type="dcterms:W3CDTF">2026-07-28T13:05:30Z</dcterms:created>
  <cp:lastModifiedBy>Barbara Rygielska</cp:lastModifiedBy>
  <dcterms:modified xsi:type="dcterms:W3CDTF">2026-08-06T06:37:53Z</dcterms:modified>
  <cp:revision>5</cp:revision>
  <dc:subject>w sprawie wyrażenia zgody na zawarcie umowy o świadczenie usług w zakresie publicznego transportu zbiorowego</dc:subject>
  <dc:title>Uchwała z dnia 5 sierpnia 2026 r.</dc:title>
</cp:coreProperties>
</file>