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7E53574" Type="http://schemas.openxmlformats.org/officeDocument/2006/relationships/officeDocument" Target="/word/document.xml" /><Relationship Id="coreR17E5357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dniu 4 grudnia 2025 roku, Gmina Skrwilno w ramach naboru nr 1/2026/FRPA wystąpiła do Wojewody Kujawsko-Pomorskiego z wnioskiem o objęcie dopłatą w ramach Funduszu rozwoju przewozów autobusowych o charakterze użyteczności publicznej w latach 2026-2028 zadań własnych związanych z organizowaniem publicznego transportu zbiorowego o charakterze użyteczności publicznej w gminnych przewozach pasażerskich.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Wniosek przeszedł pozytywną weryfikację.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Zgodnie z art. 50a ust. 1 ustawy z dnia 16 grudnia 2010 r. o publicznym transporcie zbiorowym (t.j. Dz. U. z 2025 r., poz. 285 z późn. zm.), rada gminy jest właściwa do ustalania cen za usługi przewozowe w publicznym transporcie zbiorowym o charakterze użyteczności publicznej w gminnych przewozach pasażerskich.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left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związku z powyższym podjęcie ww. uchwały jest uzasadnione</w:t>
      </w:r>
    </w:p>
    <w:tbl>
      <w:tblPr>
        <w:tblStyle w:val="T1"/>
        <w:tblW w:w="5000" w:type="pct"/>
        <w:tblBorders>
          <w:top w:val="none" w:sz="4" w:space="0" w:shadow="0" w:frame="0" w:color="000000"/>
          <w:left w:val="none" w:sz="4" w:space="0" w:shadow="0" w:frame="0" w:color="000000"/>
          <w:bottom w:val="none" w:sz="4" w:space="0" w:shadow="0" w:frame="0" w:color="000000"/>
          <w:right w:val="none" w:sz="4" w:space="0" w:shadow="0" w:frame="0" w:color="000000"/>
        </w:tblBorders>
        <w:tblLook w:val="04A0"/>
      </w:tblPr>
      <w:tblGrid/>
      <w:tr>
        <w:tc>
          <w:tcPr>
            <w:tcW w:w="2500" w:type="pct"/>
            <w:tcBorders>
              <w:righ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left"/>
              <w:rPr>
                <w:rFonts w:ascii="Times New Roman" w:hAnsi="Times New Roman"/>
                <w:b w:val="0"/>
                <w:caps w:val="0"/>
                <w:sz w:val="22"/>
              </w:rPr>
            </w:pPr>
          </w:p>
        </w:tc>
        <w:tc>
          <w:tcPr>
            <w:tcW w:w="2500" w:type="pct"/>
            <w:tcBorders>
              <w:left w:val="none" w:sz="4" w:space="0" w:shadow="0" w:frame="0" w:color="000000"/>
            </w:tcBorders>
            <w:vAlign w:val="top"/>
          </w:tcPr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SIGNATURE_0_1_FUNCTION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t>Przewodniczący Rady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t xml:space="preserve"> </w:t>
            </w:r>
          </w:p>
          <w:p>
            <w:pPr>
              <w:keepNext w:val="0"/>
              <w:keepLines w:val="0"/>
              <w:spacing w:lineRule="auto" w:line="240" w:before="120" w:after="120" w:beforeAutospacing="0" w:afterAutospacing="0"/>
              <w:ind w:firstLine="0" w:left="0" w:right="0"/>
              <w:jc w:val="center"/>
              <w:rPr>
                <w:rFonts w:ascii="Times New Roman" w:hAnsi="Times New Roman"/>
                <w:b w:val="0"/>
                <w:caps w:val="0"/>
                <w:sz w:val="22"/>
              </w:rPr>
            </w:pP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SIGNATURE_0_1_FIRSTNAME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 xml:space="preserve">Jacek 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instrText>SIGNATURE_0_1_LASTNAME</w:instrTex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caps w:val="0"/>
                <w:sz w:val="22"/>
              </w:rPr>
              <w:t>Tyburski</w:t>
            </w:r>
            <w:r>
              <w:rPr>
                <w:rFonts w:ascii="Times New Roman" w:hAnsi="Times New Roman"/>
                <w:b w:val="0"/>
                <w:caps w:val="0"/>
                <w:sz w:val="22"/>
              </w:rPr>
              <w:fldChar w:fldCharType="end"/>
            </w:r>
          </w:p>
        </w:tc>
      </w:tr>
    </w:tbl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left"/>
        <w:rPr>
          <w:rFonts w:ascii="Times New Roman" w:hAnsi="Times New Roman"/>
          <w:b w:val="0"/>
          <w:caps w:val="0"/>
          <w:sz w:val="22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barbara.rygielska</dc:creator>
  <dcterms:created xsi:type="dcterms:W3CDTF">2026-07-28T13:11:14Z</dcterms:created>
  <cp:lastModifiedBy>Barbara Rygielska</cp:lastModifiedBy>
  <dcterms:modified xsi:type="dcterms:W3CDTF">2026-08-06T06:42:13Z</dcterms:modified>
  <cp:revision>11</cp:revision>
  <dc:subject>w sprawie ustalenia cen biletów, opłat i uprawnień do bezpłatnych przejazdów w przewozie autobusami w publicznym transporcie zbiorowym organizowanym przez Gminę Skrwilno</dc:subject>
  <dc:title>Uchwała nr  XXVI/121/26 z dnia 5 sierpnia 2026 r.</dc:title>
</cp:coreProperties>
</file>