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D14076" Type="http://schemas.openxmlformats.org/officeDocument/2006/relationships/officeDocument" Target="/word/document.xml" /><Relationship Id="coreR4D1407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Gmina Skrwilno prowadzi inwestycje p.n.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caps w:val="0"/>
          <w:sz w:val="22"/>
        </w:rPr>
        <w:t>„Modernizacja ciepłowni lokalnych budynków użyteczności publicznej w Skrwilno”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. Koszt inwestycji wynosi 4.159.600,00 zł. Dofinansowanie na to zadanie wynosi 3.427.039,99 zł.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 uwagi na powyższe istnieje konieczność zaciągnięcia kredytu długoterminowego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Jacek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Tyburski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2025-01-10T10:52:43Z</dcterms:created>
  <cp:lastModifiedBy>Barbara Rygielska</cp:lastModifiedBy>
  <dcterms:modified xsi:type="dcterms:W3CDTF">2026-09-14T12:13:38Z</dcterms:modified>
  <cp:revision>18</cp:revision>
  <dc:subject>w sprawie zaciągnięcia kredytu długoterminowego</dc:subject>
  <dc:title>Uchwała z dnia 23 stycznia 2025 r.</dc:title>
</cp:coreProperties>
</file>