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A215DBB" Type="http://schemas.openxmlformats.org/officeDocument/2006/relationships/officeDocument" Target="/word/document.xml" /><Relationship Id="coreR4A215DB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uchwały Nr L/328/23</w:t>
        <w:br w:type="textWrapping"/>
        <w:t>Rady Gminy Skrwilno</w:t>
        <w:br w:type="textWrapping"/>
        <w:t>z dnia 27 października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STAWKI PODATKU DLA POJAZDÓW OKREŚLONYCH w art. 8 pkt 4 USTAWY</w:t>
      </w:r>
    </w:p>
    <w:tbl>
      <w:tblPr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tLeast" w:val="1026"/>
        </w:trPr>
        <w:tc>
          <w:tcPr>
            <w:tcW w:w="507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Liczba osi i dopuszczalna masa</w:t>
            </w:r>
          </w:p>
          <w:p>
            <w:pPr>
              <w:jc w:val="center"/>
            </w:pPr>
            <w:r>
              <w:t>Całkowita zespołu pojazdów: ciągnik</w:t>
            </w:r>
          </w:p>
          <w:p>
            <w:pPr>
              <w:jc w:val="center"/>
            </w:pPr>
            <w:r>
              <w:t>siodłowy + naczepa; ciągnik balastowy</w:t>
            </w:r>
          </w:p>
          <w:p>
            <w:pPr>
              <w:jc w:val="center"/>
            </w:pPr>
            <w:r>
              <w:t>+ przyczepa (w tonach)</w:t>
            </w:r>
          </w:p>
        </w:tc>
        <w:tc>
          <w:tcPr>
            <w:tcW w:w="501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Stawka podatku 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1475"/>
        </w:trPr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Nie mniej niż </w:t>
            </w:r>
          </w:p>
        </w:tc>
        <w:tc>
          <w:tcPr>
            <w:tcW w:w="26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Mniej niż </w:t>
            </w:r>
          </w:p>
        </w:tc>
        <w:tc>
          <w:tcPr>
            <w:tcW w:w="2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Oś jezdna (osie jezdne) z zawieszeniem pneumatycznym lub zawieszeniem uznanym za równoważne </w:t>
            </w:r>
          </w:p>
        </w:tc>
        <w:tc>
          <w:tcPr>
            <w:tcW w:w="2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Inne systemy zawieszenia osi jezdnych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05"/>
        </w:trPr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1 </w:t>
            </w:r>
          </w:p>
        </w:tc>
        <w:tc>
          <w:tcPr>
            <w:tcW w:w="26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2 </w:t>
            </w:r>
          </w:p>
        </w:tc>
        <w:tc>
          <w:tcPr>
            <w:tcW w:w="2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3 </w:t>
            </w:r>
          </w:p>
        </w:tc>
        <w:tc>
          <w:tcPr>
            <w:tcW w:w="2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89"/>
        </w:trPr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Dwie osie </w:t>
            </w:r>
          </w:p>
        </w:tc>
        <w:tc>
          <w:tcPr>
            <w:tcW w:w="26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</w:p>
        </w:tc>
        <w:tc>
          <w:tcPr>
            <w:tcW w:w="2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05"/>
        </w:trPr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12 </w:t>
            </w:r>
          </w:p>
        </w:tc>
        <w:tc>
          <w:tcPr>
            <w:tcW w:w="26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18 </w:t>
            </w:r>
          </w:p>
        </w:tc>
        <w:tc>
          <w:tcPr>
            <w:tcW w:w="2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1532</w:t>
            </w:r>
          </w:p>
        </w:tc>
        <w:tc>
          <w:tcPr>
            <w:tcW w:w="2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1534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89"/>
        </w:trPr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18 </w:t>
            </w:r>
          </w:p>
        </w:tc>
        <w:tc>
          <w:tcPr>
            <w:tcW w:w="26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25 </w:t>
            </w:r>
          </w:p>
        </w:tc>
        <w:tc>
          <w:tcPr>
            <w:tcW w:w="2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2460</w:t>
            </w:r>
          </w:p>
        </w:tc>
        <w:tc>
          <w:tcPr>
            <w:tcW w:w="2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2660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89"/>
        </w:trPr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25 </w:t>
            </w:r>
          </w:p>
        </w:tc>
        <w:tc>
          <w:tcPr>
            <w:tcW w:w="26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31 </w:t>
            </w:r>
          </w:p>
        </w:tc>
        <w:tc>
          <w:tcPr>
            <w:tcW w:w="2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2602</w:t>
            </w:r>
          </w:p>
        </w:tc>
        <w:tc>
          <w:tcPr>
            <w:tcW w:w="2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2826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05"/>
        </w:trPr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31 </w:t>
            </w:r>
          </w:p>
        </w:tc>
        <w:tc>
          <w:tcPr>
            <w:tcW w:w="26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2808</w:t>
            </w:r>
          </w:p>
        </w:tc>
        <w:tc>
          <w:tcPr>
            <w:tcW w:w="2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2748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89"/>
        </w:trPr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Trzy osie </w:t>
            </w:r>
            <w:r>
              <w:rPr>
                <w:b w:val="1"/>
              </w:rPr>
              <w:t>i więcej</w:t>
            </w:r>
          </w:p>
        </w:tc>
        <w:tc>
          <w:tcPr>
            <w:tcW w:w="26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</w:p>
        </w:tc>
        <w:tc>
          <w:tcPr>
            <w:tcW w:w="2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55"/>
        </w:trPr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12 </w:t>
            </w:r>
          </w:p>
        </w:tc>
        <w:tc>
          <w:tcPr>
            <w:tcW w:w="26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 xml:space="preserve">40 </w:t>
            </w:r>
          </w:p>
        </w:tc>
        <w:tc>
          <w:tcPr>
            <w:tcW w:w="2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2726</w:t>
            </w:r>
          </w:p>
        </w:tc>
        <w:tc>
          <w:tcPr>
            <w:tcW w:w="2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2818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638"/>
        </w:trPr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40</w:t>
            </w:r>
          </w:p>
        </w:tc>
        <w:tc>
          <w:tcPr>
            <w:tcW w:w="26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2822</w:t>
            </w:r>
          </w:p>
        </w:tc>
        <w:tc>
          <w:tcPr>
            <w:tcW w:w="2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 w:color="000000"/>
                <w:vertAlign w:val="baseline"/>
              </w:rPr>
            </w:pPr>
            <w:r>
              <w:t>3522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2023-10-26T09:40:49Z</dcterms:created>
  <cp:lastModifiedBy>Barbara Góralczyk</cp:lastModifiedBy>
  <dcterms:modified xsi:type="dcterms:W3CDTF">2023-10-27T11:40:47Z</dcterms:modified>
  <cp:revision>13</cp:revision>
  <dc:subject>w sprawie określenia wysokości stawek podatku od środków transportowych.</dc:subject>
  <dc:title>Uchwała Nr L.328/23 z dnia 27 października 2023 r.</dc:title>
</cp:coreProperties>
</file>