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563BD8" Type="http://schemas.openxmlformats.org/officeDocument/2006/relationships/officeDocument" Target="/word/document.xml" /><Relationship Id="coreR3D563BD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tytułu wykonywania mandatu radnemu przysługuje dieta oraz zwrot kosztó podróży służbowych za zasadach określonych przez Radę Gminy. Ustalając wysokość diet Rada Gminy Skrwilno wziełą pod uwagę ograniczenia wysokości diet wynikające z Rozporządzenia Rady Ministrów z dnia 7 października 2021r. w sprawie maksymalnej wysokości diet przysługujących radnemu gminy (Dz. U. 2021 poz. 1974).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Celem ustalonej diety jest rekompensowanie radnemu wynagrodzenia utraconego z powodu jego nieobecności w pracy, w czasie wypełnienia przez niego ustawowych obowiązków oraz pokrycia wydatków związanych z wykonywaniem mandatu.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2023-10-26T10:46:57Z</dcterms:created>
  <cp:lastModifiedBy>Barbara Góralczyk</cp:lastModifiedBy>
  <dcterms:modified xsi:type="dcterms:W3CDTF">2023-10-27T12:26:57Z</dcterms:modified>
  <cp:revision>4</cp:revision>
  <dc:subject>w sprawie ustalenia diet dla radnych</dc:subject>
  <dc:title>Uchwała Nr L/332/23 z dnia 27 października 2023 r.</dc:title>
</cp:coreProperties>
</file>